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083E" w14:textId="77777777" w:rsidR="00224B2B" w:rsidRPr="00E63F6A" w:rsidRDefault="00224B2B" w:rsidP="00E63F6A">
      <w:r w:rsidRPr="00E63F6A">
        <w:t>Stephanie Woerner:</w:t>
      </w:r>
    </w:p>
    <w:p w14:paraId="5363DAD6" w14:textId="77777777" w:rsidR="00224B2B" w:rsidRPr="00E63F6A" w:rsidRDefault="00224B2B" w:rsidP="00E63F6A">
      <w:r w:rsidRPr="00E63F6A">
        <w:t>Hello, and welcome to the audio edition of the MIT CISR Research Briefing Series. I’m Stephanie Woerner, a research scientist with MIT CISR—the MIT Center for Information Systems Research, or M-I-T C-I-S-R. CISR is a research center at the MIT Sloan School of Management that studies digital transformation.</w:t>
      </w:r>
      <w:bookmarkStart w:id="0" w:name="_GoBack"/>
      <w:bookmarkEnd w:id="0"/>
    </w:p>
    <w:p w14:paraId="091D5AF1" w14:textId="2B62E265" w:rsidR="00434376" w:rsidRPr="00E63F6A" w:rsidRDefault="00224B2B" w:rsidP="00E63F6A">
      <w:r w:rsidRPr="00E63F6A">
        <w:t>Today I’m excited to share with you the February 2021 research briefing that I co-authored with Peter Weill, “</w:t>
      </w:r>
      <w:r w:rsidR="00434376" w:rsidRPr="00E63F6A">
        <w:t>Update on the Four Pathways to Future Ready</w:t>
      </w:r>
      <w:r w:rsidRPr="00E63F6A">
        <w:t>.”</w:t>
      </w:r>
    </w:p>
    <w:p w14:paraId="12B6F2E1" w14:textId="0B941470" w:rsidR="003947DE" w:rsidRPr="00E63F6A" w:rsidRDefault="003E2D44" w:rsidP="00E63F6A">
      <w:r w:rsidRPr="00E63F6A">
        <w:t>I</w:t>
      </w:r>
      <w:r w:rsidR="00885EA6" w:rsidRPr="00E63F6A">
        <w:t xml:space="preserve">n 2017 </w:t>
      </w:r>
      <w:r w:rsidRPr="00E63F6A">
        <w:t xml:space="preserve">we </w:t>
      </w:r>
      <w:r w:rsidR="00973359" w:rsidRPr="00E63F6A">
        <w:t xml:space="preserve">first </w:t>
      </w:r>
      <w:r w:rsidR="00DD6A27" w:rsidRPr="00E63F6A">
        <w:t xml:space="preserve">observed </w:t>
      </w:r>
      <w:r w:rsidR="00973359" w:rsidRPr="00E63F6A">
        <w:t xml:space="preserve">how </w:t>
      </w:r>
      <w:r w:rsidR="00885EA6" w:rsidRPr="00E63F6A">
        <w:t>almost every bi</w:t>
      </w:r>
      <w:r w:rsidR="00BE1869" w:rsidRPr="00E63F6A">
        <w:t>g</w:t>
      </w:r>
      <w:r w:rsidR="00885EA6" w:rsidRPr="00E63F6A">
        <w:t xml:space="preserve"> old company was on a digital transformation journey, many without a playbook</w:t>
      </w:r>
      <w:r w:rsidRPr="00E63F6A">
        <w:t>.</w:t>
      </w:r>
      <w:r w:rsidR="00885EA6" w:rsidRPr="00E63F6A">
        <w:t xml:space="preserve"> </w:t>
      </w:r>
      <w:r w:rsidR="00BE1869" w:rsidRPr="00E63F6A">
        <w:t>W</w:t>
      </w:r>
      <w:r w:rsidR="00885EA6" w:rsidRPr="00E63F6A">
        <w:t>e described the goal of business transformation</w:t>
      </w:r>
      <w:r w:rsidR="001C470B" w:rsidRPr="00E63F6A">
        <w:t xml:space="preserve">—to become </w:t>
      </w:r>
      <w:r w:rsidR="00885EA6" w:rsidRPr="00E63F6A">
        <w:t>Future Ready</w:t>
      </w:r>
      <w:r w:rsidR="001C470B" w:rsidRPr="00E63F6A">
        <w:t>—</w:t>
      </w:r>
      <w:r w:rsidR="00A66FDC" w:rsidRPr="00E63F6A">
        <w:t xml:space="preserve">and our research identified </w:t>
      </w:r>
      <w:r w:rsidR="00406ED5" w:rsidRPr="00E63F6A">
        <w:t xml:space="preserve">four </w:t>
      </w:r>
      <w:r w:rsidR="00885EA6" w:rsidRPr="00E63F6A">
        <w:t>path</w:t>
      </w:r>
      <w:r w:rsidR="00406ED5" w:rsidRPr="00E63F6A">
        <w:t>way</w:t>
      </w:r>
      <w:r w:rsidR="00885EA6" w:rsidRPr="00E63F6A">
        <w:t>s</w:t>
      </w:r>
      <w:r w:rsidR="00113B10" w:rsidRPr="00E63F6A">
        <w:t xml:space="preserve"> </w:t>
      </w:r>
      <w:r w:rsidR="00406ED5" w:rsidRPr="00E63F6A">
        <w:t xml:space="preserve">that </w:t>
      </w:r>
      <w:r w:rsidR="00885EA6" w:rsidRPr="00E63F6A">
        <w:t xml:space="preserve">companies </w:t>
      </w:r>
      <w:r w:rsidR="00B35596" w:rsidRPr="00E63F6A">
        <w:t xml:space="preserve">can </w:t>
      </w:r>
      <w:r w:rsidR="00AB38C8" w:rsidRPr="00E63F6A">
        <w:t>follow</w:t>
      </w:r>
      <w:r w:rsidR="00406ED5" w:rsidRPr="00E63F6A">
        <w:t xml:space="preserve"> </w:t>
      </w:r>
      <w:r w:rsidRPr="00E63F6A">
        <w:t>to outperform their industry</w:t>
      </w:r>
      <w:r w:rsidR="00885EA6" w:rsidRPr="00E63F6A">
        <w:t>.</w:t>
      </w:r>
      <w:r w:rsidR="00C231A9" w:rsidRPr="00E63F6A">
        <w:t xml:space="preserve"> </w:t>
      </w:r>
    </w:p>
    <w:p w14:paraId="0D18218E" w14:textId="69B44954" w:rsidR="003F2048" w:rsidRPr="00E63F6A" w:rsidRDefault="00406ED5" w:rsidP="00E63F6A">
      <w:r w:rsidRPr="00E63F6A">
        <w:t xml:space="preserve">When we asked one CEO why he drove development of a playbook at his company, he </w:t>
      </w:r>
      <w:r w:rsidR="00C231A9" w:rsidRPr="00E63F6A">
        <w:t>explained</w:t>
      </w:r>
      <w:r w:rsidR="00224B2B" w:rsidRPr="00E63F6A">
        <w:t>, “</w:t>
      </w:r>
      <w:r w:rsidR="00C231A9" w:rsidRPr="00E63F6A">
        <w:t xml:space="preserve">Creating a common transformation language that’s embedded and reinforced consistently by the leaders across the organization was an important first step as a CEO, and ultimately critical to gaining </w:t>
      </w:r>
      <w:r w:rsidR="003F2048" w:rsidRPr="00E63F6A">
        <w:t xml:space="preserve">[the] </w:t>
      </w:r>
      <w:r w:rsidR="00C231A9" w:rsidRPr="00E63F6A">
        <w:t>momentum needed during the early and difficult phases of the digital journey we are on.</w:t>
      </w:r>
      <w:r w:rsidR="00224B2B" w:rsidRPr="00E63F6A">
        <w:t xml:space="preserve">” That was by </w:t>
      </w:r>
      <w:r w:rsidR="003F2048" w:rsidRPr="00E63F6A">
        <w:t xml:space="preserve">Nathan Bostock, </w:t>
      </w:r>
      <w:r w:rsidR="00224B2B" w:rsidRPr="00E63F6A">
        <w:t>CEO of</w:t>
      </w:r>
      <w:r w:rsidR="003F2048" w:rsidRPr="00E63F6A">
        <w:t xml:space="preserve"> Santander UK</w:t>
      </w:r>
    </w:p>
    <w:p w14:paraId="33B945CE" w14:textId="54104A08" w:rsidR="00C231A9" w:rsidRPr="00E63F6A" w:rsidRDefault="00885EA6" w:rsidP="00E63F6A">
      <w:r w:rsidRPr="00E63F6A">
        <w:t xml:space="preserve">Since </w:t>
      </w:r>
      <w:r w:rsidR="00406ED5" w:rsidRPr="00E63F6A">
        <w:t>2017</w:t>
      </w:r>
      <w:r w:rsidRPr="00E63F6A">
        <w:t>, we’ve done dozens of workshops with companies that are making big investments in business transformation</w:t>
      </w:r>
      <w:r w:rsidR="00406ED5" w:rsidRPr="00E63F6A">
        <w:t>,</w:t>
      </w:r>
      <w:r w:rsidRPr="00E63F6A">
        <w:t xml:space="preserve"> and we’ve continued research on the </w:t>
      </w:r>
      <w:r w:rsidR="00AB38C8" w:rsidRPr="00E63F6A">
        <w:t xml:space="preserve">four </w:t>
      </w:r>
      <w:r w:rsidRPr="00E63F6A">
        <w:t>pathways</w:t>
      </w:r>
      <w:r w:rsidR="007E69F2" w:rsidRPr="00E63F6A">
        <w:t>,</w:t>
      </w:r>
      <w:r w:rsidR="003E2D44" w:rsidRPr="00E63F6A">
        <w:t xml:space="preserve"> including </w:t>
      </w:r>
      <w:r w:rsidR="00865FE5" w:rsidRPr="00E63F6A">
        <w:t>administering</w:t>
      </w:r>
      <w:r w:rsidR="007E69F2" w:rsidRPr="00E63F6A">
        <w:t xml:space="preserve"> </w:t>
      </w:r>
      <w:r w:rsidR="003E2D44" w:rsidRPr="00E63F6A">
        <w:t xml:space="preserve">surveys </w:t>
      </w:r>
      <w:r w:rsidR="00865FE5" w:rsidRPr="00E63F6A">
        <w:t xml:space="preserve">to </w:t>
      </w:r>
      <w:r w:rsidR="007E69F2" w:rsidRPr="00E63F6A">
        <w:t xml:space="preserve">more than </w:t>
      </w:r>
      <w:r w:rsidR="00FF318C" w:rsidRPr="00E63F6A">
        <w:t>1</w:t>
      </w:r>
      <w:r w:rsidR="007E69F2" w:rsidRPr="00E63F6A">
        <w:t>,</w:t>
      </w:r>
      <w:r w:rsidR="00FF318C" w:rsidRPr="00E63F6A">
        <w:t>500</w:t>
      </w:r>
      <w:r w:rsidR="003E2D44" w:rsidRPr="00E63F6A">
        <w:t xml:space="preserve"> companies globally</w:t>
      </w:r>
      <w:r w:rsidRPr="00E63F6A">
        <w:t>.</w:t>
      </w:r>
      <w:r w:rsidR="003E2D44" w:rsidRPr="00E63F6A">
        <w:t xml:space="preserve"> </w:t>
      </w:r>
      <w:r w:rsidR="007E69F2" w:rsidRPr="00E63F6A">
        <w:t xml:space="preserve">In this </w:t>
      </w:r>
      <w:r w:rsidR="003E2D44" w:rsidRPr="00E63F6A">
        <w:t xml:space="preserve">briefing </w:t>
      </w:r>
      <w:r w:rsidR="007E69F2" w:rsidRPr="00E63F6A">
        <w:t>we</w:t>
      </w:r>
      <w:r w:rsidR="003E2D44" w:rsidRPr="00E63F6A">
        <w:t xml:space="preserve"> update</w:t>
      </w:r>
      <w:r w:rsidR="007E69F2" w:rsidRPr="00E63F6A">
        <w:t xml:space="preserve"> the research and</w:t>
      </w:r>
      <w:r w:rsidR="008362E6" w:rsidRPr="00E63F6A">
        <w:t xml:space="preserve"> highlight</w:t>
      </w:r>
      <w:r w:rsidR="003E2D44" w:rsidRPr="00E63F6A">
        <w:t xml:space="preserve"> what w</w:t>
      </w:r>
      <w:r w:rsidR="00FC0722" w:rsidRPr="00E63F6A">
        <w:t>e have</w:t>
      </w:r>
      <w:r w:rsidR="003E2D44" w:rsidRPr="00E63F6A">
        <w:t xml:space="preserve"> </w:t>
      </w:r>
      <w:r w:rsidR="007E69F2" w:rsidRPr="00E63F6A">
        <w:t xml:space="preserve">learned </w:t>
      </w:r>
      <w:r w:rsidR="003E2D44" w:rsidRPr="00E63F6A">
        <w:t>over the last four years</w:t>
      </w:r>
      <w:r w:rsidRPr="00E63F6A">
        <w:t>.</w:t>
      </w:r>
    </w:p>
    <w:p w14:paraId="4FF1FBFD" w14:textId="1F796537" w:rsidR="009A51F5" w:rsidRPr="00E63F6A" w:rsidRDefault="002956B4" w:rsidP="00E63F6A">
      <w:r w:rsidRPr="00E63F6A">
        <w:t xml:space="preserve">A </w:t>
      </w:r>
      <w:r w:rsidR="007E69F2" w:rsidRPr="00E63F6A">
        <w:t>future-r</w:t>
      </w:r>
      <w:r w:rsidRPr="00E63F6A">
        <w:t xml:space="preserve">eady </w:t>
      </w:r>
      <w:r w:rsidR="007E69F2" w:rsidRPr="00E63F6A">
        <w:t xml:space="preserve">company </w:t>
      </w:r>
      <w:r w:rsidRPr="00E63F6A">
        <w:t>is ambidextrous</w:t>
      </w:r>
      <w:r w:rsidR="007E69F2" w:rsidRPr="00E63F6A">
        <w:t>,</w:t>
      </w:r>
      <w:r w:rsidRPr="00E63F6A">
        <w:t xml:space="preserve"> innovating to engage and delight customers while simultaneously reducing costs </w:t>
      </w:r>
      <w:r w:rsidR="007E69F2" w:rsidRPr="00E63F6A">
        <w:t xml:space="preserve">by means of </w:t>
      </w:r>
      <w:r w:rsidRPr="00E63F6A">
        <w:t>readily available technologies</w:t>
      </w:r>
      <w:r w:rsidR="00B44E17" w:rsidRPr="00E63F6A">
        <w:t>—</w:t>
      </w:r>
      <w:r w:rsidR="009A51F5" w:rsidRPr="00E63F6A">
        <w:t xml:space="preserve">for example, </w:t>
      </w:r>
      <w:r w:rsidRPr="00E63F6A">
        <w:t xml:space="preserve">cloud </w:t>
      </w:r>
      <w:r w:rsidR="00B44E17" w:rsidRPr="00E63F6A">
        <w:t>computing or APIs</w:t>
      </w:r>
      <w:r w:rsidR="00D46E9A" w:rsidRPr="00E63F6A">
        <w:t>,</w:t>
      </w:r>
      <w:r w:rsidRPr="00E63F6A">
        <w:t xml:space="preserve"> often combined with </w:t>
      </w:r>
      <w:r w:rsidR="00D961D4" w:rsidRPr="00E63F6A">
        <w:t>agile development </w:t>
      </w:r>
      <w:r w:rsidR="009A51F5" w:rsidRPr="00E63F6A">
        <w:t>approaches</w:t>
      </w:r>
      <w:r w:rsidR="00D961D4" w:rsidRPr="00E63F6A">
        <w:t xml:space="preserve"> such as </w:t>
      </w:r>
      <w:r w:rsidRPr="00E63F6A">
        <w:t xml:space="preserve">test and learn. Customers get a great experience no matter which of the company’s channels they choose, and the company strives to meet customers’ needs rather than push products. </w:t>
      </w:r>
    </w:p>
    <w:p w14:paraId="6B1032E9" w14:textId="4AB506DC" w:rsidR="00B0786F" w:rsidRPr="00E63F6A" w:rsidRDefault="00B0786F" w:rsidP="00E63F6A">
      <w:r w:rsidRPr="00E63F6A">
        <w:t xml:space="preserve">Additionally, a future-ready company creates modular digitized services to both optimize operations and design and release new offerings. It treats data as a strategic asset—a single source of truth, supported by a set of data monetization capabilities—that is accessible by all employees who need it. The company is ecosystem ready—whether to lead an ecosystem or participate in one—and works with a wide variety of partners via digital services and exposed APIs. And it enables future-ready endeavors by developing and retaining the right talent and facilitating rapid learning throughout the company. </w:t>
      </w:r>
    </w:p>
    <w:p w14:paraId="0F334360" w14:textId="1CE4FDAB" w:rsidR="00236E8A" w:rsidRPr="00E63F6A" w:rsidRDefault="002956B4" w:rsidP="00E63F6A">
      <w:r w:rsidRPr="00E63F6A">
        <w:t>Most importantly</w:t>
      </w:r>
      <w:r w:rsidR="00CE1F92" w:rsidRPr="00E63F6A">
        <w:t>,</w:t>
      </w:r>
      <w:r w:rsidRPr="00E63F6A">
        <w:t xml:space="preserve"> </w:t>
      </w:r>
      <w:r w:rsidR="00CE1F92" w:rsidRPr="00E63F6A">
        <w:t xml:space="preserve">a </w:t>
      </w:r>
      <w:r w:rsidRPr="00E63F6A">
        <w:t xml:space="preserve">company’s </w:t>
      </w:r>
      <w:r w:rsidR="00CE1F92" w:rsidRPr="00E63F6A">
        <w:t xml:space="preserve">purpose </w:t>
      </w:r>
      <w:r w:rsidR="00BA261B" w:rsidRPr="00E63F6A">
        <w:t>determines</w:t>
      </w:r>
      <w:r w:rsidR="00CE1F92" w:rsidRPr="00E63F6A">
        <w:t xml:space="preserve"> the company’s </w:t>
      </w:r>
      <w:r w:rsidRPr="00E63F6A">
        <w:t>version of Future Ready and helps guide individual</w:t>
      </w:r>
      <w:r w:rsidR="00CE1F92" w:rsidRPr="00E63F6A">
        <w:t>s’</w:t>
      </w:r>
      <w:r w:rsidRPr="00E63F6A">
        <w:t xml:space="preserve"> behavior. </w:t>
      </w:r>
      <w:r w:rsidR="001E150C" w:rsidRPr="00E63F6A">
        <w:t>Shayne Elliott, CEO of ANZ Banking Group, said, “</w:t>
      </w:r>
      <w:r w:rsidRPr="00E63F6A">
        <w:t>If you</w:t>
      </w:r>
      <w:r w:rsidR="00CE1F92" w:rsidRPr="00E63F6A">
        <w:t>’</w:t>
      </w:r>
      <w:r w:rsidRPr="00E63F6A">
        <w:t xml:space="preserve">re not doing </w:t>
      </w:r>
      <w:r w:rsidR="00236E8A" w:rsidRPr="00E63F6A">
        <w:t>[</w:t>
      </w:r>
      <w:r w:rsidRPr="00E63F6A">
        <w:t>digital</w:t>
      </w:r>
      <w:r w:rsidR="00236E8A" w:rsidRPr="00E63F6A">
        <w:t>]</w:t>
      </w:r>
      <w:r w:rsidRPr="00E63F6A">
        <w:t xml:space="preserve"> aligned with your core purpose, then it</w:t>
      </w:r>
      <w:r w:rsidR="00CE1F92" w:rsidRPr="00E63F6A">
        <w:t>’</w:t>
      </w:r>
      <w:r w:rsidRPr="00E63F6A">
        <w:t>s really sort of a hobby</w:t>
      </w:r>
      <w:r w:rsidR="00CE1F92" w:rsidRPr="00E63F6A">
        <w:t xml:space="preserve">; </w:t>
      </w:r>
      <w:r w:rsidRPr="00E63F6A">
        <w:t>it</w:t>
      </w:r>
      <w:r w:rsidR="00CE1F92" w:rsidRPr="00E63F6A">
        <w:t>’</w:t>
      </w:r>
      <w:r w:rsidRPr="00E63F6A">
        <w:t>s something you</w:t>
      </w:r>
      <w:r w:rsidR="00CE1F92" w:rsidRPr="00E63F6A">
        <w:t>’</w:t>
      </w:r>
      <w:r w:rsidRPr="00E63F6A">
        <w:t xml:space="preserve">re doing on the side. </w:t>
      </w:r>
      <w:r w:rsidR="00236E8A" w:rsidRPr="00E63F6A">
        <w:t xml:space="preserve">… </w:t>
      </w:r>
      <w:r w:rsidR="00CE1F92" w:rsidRPr="00E63F6A">
        <w:t xml:space="preserve">[Digital] </w:t>
      </w:r>
      <w:r w:rsidR="00936069" w:rsidRPr="00E63F6A">
        <w:t xml:space="preserve">has to be core and </w:t>
      </w:r>
      <w:r w:rsidRPr="00E63F6A">
        <w:t>completely aligned with your objective</w:t>
      </w:r>
      <w:r w:rsidR="00236E8A" w:rsidRPr="00E63F6A">
        <w:t>s</w:t>
      </w:r>
      <w:r w:rsidRPr="00E63F6A">
        <w:t>.</w:t>
      </w:r>
      <w:r w:rsidR="001E150C" w:rsidRPr="00E63F6A">
        <w:t>”</w:t>
      </w:r>
    </w:p>
    <w:p w14:paraId="091BD43A" w14:textId="29463325" w:rsidR="00F91985" w:rsidRPr="00E63F6A" w:rsidRDefault="00F91985" w:rsidP="00E63F6A">
      <w:r w:rsidRPr="00E63F6A">
        <w:t>What have we learned</w:t>
      </w:r>
      <w:r w:rsidR="00973359" w:rsidRPr="00E63F6A">
        <w:t xml:space="preserve"> since our earlier briefing</w:t>
      </w:r>
      <w:r w:rsidRPr="00E63F6A">
        <w:t xml:space="preserve">? </w:t>
      </w:r>
      <w:r w:rsidR="00BE1869" w:rsidRPr="00E63F6A">
        <w:t xml:space="preserve">The performance premiums for getting </w:t>
      </w:r>
      <w:r w:rsidR="00FF318C" w:rsidRPr="00E63F6A">
        <w:t xml:space="preserve">to </w:t>
      </w:r>
      <w:r w:rsidR="00BE1869" w:rsidRPr="00E63F6A">
        <w:t xml:space="preserve">a </w:t>
      </w:r>
      <w:r w:rsidR="00936069" w:rsidRPr="00E63F6A">
        <w:t>f</w:t>
      </w:r>
      <w:r w:rsidR="00BE1869" w:rsidRPr="00E63F6A">
        <w:t>uture</w:t>
      </w:r>
      <w:r w:rsidR="00936069" w:rsidRPr="00E63F6A">
        <w:t>-r</w:t>
      </w:r>
      <w:r w:rsidR="00BE1869" w:rsidRPr="00E63F6A">
        <w:t xml:space="preserve">eady state are </w:t>
      </w:r>
      <w:r w:rsidR="003E2D44" w:rsidRPr="00E63F6A">
        <w:t>large</w:t>
      </w:r>
      <w:r w:rsidR="006F77D3" w:rsidRPr="00E63F6A">
        <w:t xml:space="preserve"> and rising</w:t>
      </w:r>
      <w:r w:rsidR="00BE1869" w:rsidRPr="00E63F6A">
        <w:t xml:space="preserve">. </w:t>
      </w:r>
      <w:r w:rsidR="00713702" w:rsidRPr="00E63F6A">
        <w:t>In 201</w:t>
      </w:r>
      <w:r w:rsidR="00BE1869" w:rsidRPr="00E63F6A">
        <w:t>7</w:t>
      </w:r>
      <w:r w:rsidR="00713702" w:rsidRPr="00E63F6A">
        <w:t>, 23</w:t>
      </w:r>
      <w:r w:rsidR="00936069" w:rsidRPr="00E63F6A">
        <w:t xml:space="preserve"> percent </w:t>
      </w:r>
      <w:r w:rsidR="00713702" w:rsidRPr="00E63F6A">
        <w:t xml:space="preserve">of </w:t>
      </w:r>
      <w:r w:rsidR="00936069" w:rsidRPr="00E63F6A">
        <w:t xml:space="preserve">companies </w:t>
      </w:r>
      <w:r w:rsidR="00713702" w:rsidRPr="00E63F6A">
        <w:t xml:space="preserve">were Future Ready (relative to competitors) and those </w:t>
      </w:r>
      <w:r w:rsidR="00936069" w:rsidRPr="00E63F6A">
        <w:t xml:space="preserve">companies </w:t>
      </w:r>
      <w:r w:rsidR="00713702" w:rsidRPr="00E63F6A">
        <w:t xml:space="preserve">averaged </w:t>
      </w:r>
      <w:r w:rsidR="00936069" w:rsidRPr="00E63F6A">
        <w:t xml:space="preserve">net margin </w:t>
      </w:r>
      <w:r w:rsidR="00713702" w:rsidRPr="00E63F6A">
        <w:t xml:space="preserve">16 percentage points above </w:t>
      </w:r>
      <w:r w:rsidR="00713702" w:rsidRPr="00E63F6A">
        <w:lastRenderedPageBreak/>
        <w:t>their industry average. In 2019</w:t>
      </w:r>
      <w:r w:rsidR="00AD1F82" w:rsidRPr="00E63F6A">
        <w:t>,</w:t>
      </w:r>
      <w:r w:rsidR="00713702" w:rsidRPr="00E63F6A">
        <w:t xml:space="preserve"> 22</w:t>
      </w:r>
      <w:r w:rsidR="00AD1F82" w:rsidRPr="00E63F6A">
        <w:t xml:space="preserve"> percent </w:t>
      </w:r>
      <w:r w:rsidR="00713702" w:rsidRPr="00E63F6A">
        <w:t xml:space="preserve">of </w:t>
      </w:r>
      <w:r w:rsidR="00A40FB1" w:rsidRPr="00E63F6A">
        <w:t>companies</w:t>
      </w:r>
      <w:r w:rsidR="00713702" w:rsidRPr="00E63F6A">
        <w:t xml:space="preserve"> were Future Ready</w:t>
      </w:r>
      <w:r w:rsidR="00D70B5C" w:rsidRPr="00E63F6A">
        <w:t>,</w:t>
      </w:r>
      <w:r w:rsidR="00AD1F82" w:rsidRPr="00E63F6A">
        <w:t xml:space="preserve"> </w:t>
      </w:r>
      <w:r w:rsidR="00713702" w:rsidRPr="00E63F6A">
        <w:t>with an average net margin 19.3 percentage points higher than industry average</w:t>
      </w:r>
      <w:r w:rsidR="00C37B34" w:rsidRPr="00E63F6A">
        <w:t>.</w:t>
      </w:r>
      <w:r w:rsidR="003E2D44" w:rsidRPr="00E63F6A">
        <w:t xml:space="preserve"> </w:t>
      </w:r>
      <w:r w:rsidR="00A859C4" w:rsidRPr="00E63F6A">
        <w:t xml:space="preserve">Getting to </w:t>
      </w:r>
      <w:r w:rsidR="00906711" w:rsidRPr="00E63F6A">
        <w:t>a future-r</w:t>
      </w:r>
      <w:r w:rsidRPr="00E63F6A">
        <w:t xml:space="preserve">eady </w:t>
      </w:r>
      <w:r w:rsidR="00906711" w:rsidRPr="00E63F6A">
        <w:t xml:space="preserve">state </w:t>
      </w:r>
      <w:r w:rsidRPr="00E63F6A">
        <w:t xml:space="preserve">is </w:t>
      </w:r>
      <w:r w:rsidR="00A859C4" w:rsidRPr="00E63F6A">
        <w:t xml:space="preserve">financially </w:t>
      </w:r>
      <w:r w:rsidR="006F77D3" w:rsidRPr="00E63F6A">
        <w:t>rewarding</w:t>
      </w:r>
      <w:r w:rsidR="00D70B5C" w:rsidRPr="00E63F6A">
        <w:t xml:space="preserve"> but challenging</w:t>
      </w:r>
      <w:r w:rsidR="00906711" w:rsidRPr="00E63F6A">
        <w:t xml:space="preserve">, </w:t>
      </w:r>
      <w:r w:rsidRPr="00E63F6A">
        <w:t xml:space="preserve">and </w:t>
      </w:r>
      <w:r w:rsidR="00D70B5C" w:rsidRPr="00E63F6A">
        <w:t xml:space="preserve">considering that over time </w:t>
      </w:r>
      <w:r w:rsidR="00A859C4" w:rsidRPr="00E63F6A">
        <w:t xml:space="preserve">we </w:t>
      </w:r>
      <w:r w:rsidR="005A1555" w:rsidRPr="00E63F6A">
        <w:t xml:space="preserve">observed </w:t>
      </w:r>
      <w:r w:rsidR="00D70B5C" w:rsidRPr="00E63F6A">
        <w:t>the percentage of future-ready companies staying fairly consistent</w:t>
      </w:r>
      <w:r w:rsidRPr="00E63F6A">
        <w:t xml:space="preserve">, </w:t>
      </w:r>
      <w:r w:rsidR="00A859C4" w:rsidRPr="00E63F6A">
        <w:t xml:space="preserve">we </w:t>
      </w:r>
      <w:r w:rsidR="00C54C8A" w:rsidRPr="00E63F6A">
        <w:t>propose</w:t>
      </w:r>
      <w:r w:rsidR="00A859C4" w:rsidRPr="00E63F6A">
        <w:t xml:space="preserve"> </w:t>
      </w:r>
      <w:r w:rsidRPr="00E63F6A">
        <w:t xml:space="preserve">the </w:t>
      </w:r>
      <w:r w:rsidR="00D46E9A" w:rsidRPr="00E63F6A">
        <w:t>bar</w:t>
      </w:r>
      <w:r w:rsidR="006F77D3" w:rsidRPr="00E63F6A">
        <w:t xml:space="preserve"> to </w:t>
      </w:r>
      <w:r w:rsidR="00D70B5C" w:rsidRPr="00E63F6A">
        <w:t xml:space="preserve">achieving </w:t>
      </w:r>
      <w:r w:rsidR="006F77D3" w:rsidRPr="00E63F6A">
        <w:t>Future Ready</w:t>
      </w:r>
      <w:r w:rsidR="00D46E9A" w:rsidRPr="00E63F6A">
        <w:t xml:space="preserve"> is rising</w:t>
      </w:r>
      <w:r w:rsidRPr="00E63F6A">
        <w:t xml:space="preserve"> in step with advancements in practice and technologies. It takes a strong, consistent vision to get there</w:t>
      </w:r>
      <w:r w:rsidR="005A1555" w:rsidRPr="00E63F6A">
        <w:t xml:space="preserve">, </w:t>
      </w:r>
      <w:r w:rsidR="00D9717A" w:rsidRPr="00E63F6A">
        <w:t>and even</w:t>
      </w:r>
      <w:r w:rsidRPr="00E63F6A">
        <w:t xml:space="preserve"> that is not enough</w:t>
      </w:r>
      <w:r w:rsidR="005A1555" w:rsidRPr="00E63F6A">
        <w:t xml:space="preserve">. It </w:t>
      </w:r>
      <w:r w:rsidRPr="00E63F6A">
        <w:t xml:space="preserve">also requires that the </w:t>
      </w:r>
      <w:r w:rsidR="005A1555" w:rsidRPr="00E63F6A">
        <w:t xml:space="preserve">company and its </w:t>
      </w:r>
      <w:r w:rsidRPr="00E63F6A">
        <w:t xml:space="preserve">top management team </w:t>
      </w:r>
      <w:r w:rsidR="005A1555" w:rsidRPr="00E63F6A">
        <w:t xml:space="preserve">align </w:t>
      </w:r>
      <w:r w:rsidRPr="00E63F6A">
        <w:t xml:space="preserve">on </w:t>
      </w:r>
      <w:r w:rsidR="005A1555" w:rsidRPr="00E63F6A">
        <w:t xml:space="preserve">both </w:t>
      </w:r>
      <w:r w:rsidRPr="00E63F6A">
        <w:t xml:space="preserve">a pathway for the journey and how the </w:t>
      </w:r>
      <w:r w:rsidR="005A1555" w:rsidRPr="00E63F6A">
        <w:t xml:space="preserve">company </w:t>
      </w:r>
      <w:r w:rsidRPr="00E63F6A">
        <w:t xml:space="preserve">will deal with </w:t>
      </w:r>
      <w:r w:rsidR="00551E67" w:rsidRPr="00E63F6A">
        <w:t xml:space="preserve">unavoidable </w:t>
      </w:r>
      <w:r w:rsidR="00596146" w:rsidRPr="00E63F6A">
        <w:t>significant, disruptive company-wide changes needed to become Future Ready.</w:t>
      </w:r>
    </w:p>
    <w:p w14:paraId="5DA71ACC" w14:textId="0524DAAD" w:rsidR="005D67A6" w:rsidRPr="00E63F6A" w:rsidRDefault="00D9717A" w:rsidP="00E63F6A">
      <w:r w:rsidRPr="00E63F6A">
        <w:t xml:space="preserve">As part of this research we </w:t>
      </w:r>
      <w:r w:rsidR="00F91985" w:rsidRPr="00E63F6A">
        <w:t xml:space="preserve">identified four possible pathways to Future Ready. </w:t>
      </w:r>
      <w:r w:rsidRPr="00E63F6A">
        <w:t xml:space="preserve">We found that most companies begin the journey </w:t>
      </w:r>
      <w:r w:rsidR="00C84605" w:rsidRPr="00E63F6A">
        <w:t>by choosing P</w:t>
      </w:r>
      <w:r w:rsidRPr="00E63F6A">
        <w:t>athway</w:t>
      </w:r>
      <w:r w:rsidR="00C84605" w:rsidRPr="00E63F6A">
        <w:t xml:space="preserve"> 1, 2, or 3 and following it </w:t>
      </w:r>
      <w:r w:rsidRPr="00E63F6A">
        <w:t xml:space="preserve">to Future Ready. </w:t>
      </w:r>
      <w:r w:rsidR="005E2276" w:rsidRPr="00E63F6A">
        <w:t>O</w:t>
      </w:r>
      <w:r w:rsidR="00BE1869" w:rsidRPr="00E63F6A">
        <w:t>f the 1</w:t>
      </w:r>
      <w:r w:rsidR="00882CF1" w:rsidRPr="00E63F6A">
        <w:t>,</w:t>
      </w:r>
      <w:r w:rsidR="00BE1869" w:rsidRPr="00E63F6A">
        <w:t xml:space="preserve">311 </w:t>
      </w:r>
      <w:r w:rsidR="00882CF1" w:rsidRPr="00E63F6A">
        <w:t xml:space="preserve">companies that responded to </w:t>
      </w:r>
      <w:r w:rsidR="00BE1869" w:rsidRPr="00E63F6A">
        <w:t xml:space="preserve">our </w:t>
      </w:r>
      <w:r w:rsidR="003E2D44" w:rsidRPr="00E63F6A">
        <w:t xml:space="preserve">most </w:t>
      </w:r>
      <w:r w:rsidR="00F91985" w:rsidRPr="00E63F6A">
        <w:t>recent</w:t>
      </w:r>
      <w:r w:rsidR="003E2D44" w:rsidRPr="00E63F6A">
        <w:t xml:space="preserve"> </w:t>
      </w:r>
      <w:r w:rsidR="00BE1869" w:rsidRPr="00E63F6A">
        <w:t xml:space="preserve">survey, </w:t>
      </w:r>
      <w:r w:rsidR="00C84605" w:rsidRPr="00E63F6A">
        <w:t xml:space="preserve">the </w:t>
      </w:r>
      <w:r w:rsidR="00BE1869" w:rsidRPr="00E63F6A">
        <w:t xml:space="preserve">average </w:t>
      </w:r>
      <w:r w:rsidR="003E2D44" w:rsidRPr="00E63F6A">
        <w:t>percent complete</w:t>
      </w:r>
      <w:r w:rsidR="00357356" w:rsidRPr="00E63F6A">
        <w:t>, which</w:t>
      </w:r>
      <w:r w:rsidR="003E2D44" w:rsidRPr="00E63F6A">
        <w:t xml:space="preserve"> </w:t>
      </w:r>
      <w:r w:rsidR="00357356" w:rsidRPr="00E63F6A">
        <w:t>had been</w:t>
      </w:r>
      <w:r w:rsidR="00F5308B" w:rsidRPr="00E63F6A">
        <w:t xml:space="preserve"> 33 percent </w:t>
      </w:r>
      <w:r w:rsidR="00BE1869" w:rsidRPr="00E63F6A">
        <w:t>in 2017</w:t>
      </w:r>
      <w:r w:rsidR="00357356" w:rsidRPr="00E63F6A">
        <w:t>,</w:t>
      </w:r>
      <w:r w:rsidR="00BE1869" w:rsidRPr="00E63F6A">
        <w:t xml:space="preserve"> </w:t>
      </w:r>
      <w:r w:rsidR="00357356" w:rsidRPr="00E63F6A">
        <w:t>was</w:t>
      </w:r>
      <w:r w:rsidR="00BE1869" w:rsidRPr="00E63F6A">
        <w:t xml:space="preserve"> </w:t>
      </w:r>
      <w:r w:rsidR="00F5308B" w:rsidRPr="00E63F6A">
        <w:t>50 percent</w:t>
      </w:r>
      <w:r w:rsidR="00F5308B" w:rsidRPr="00E63F6A" w:rsidDel="00F5308B">
        <w:t xml:space="preserve"> </w:t>
      </w:r>
      <w:r w:rsidR="00F5308B" w:rsidRPr="00E63F6A">
        <w:t xml:space="preserve">in </w:t>
      </w:r>
      <w:r w:rsidR="00BE1869" w:rsidRPr="00E63F6A">
        <w:t xml:space="preserve">2019. </w:t>
      </w:r>
      <w:r w:rsidR="00F5308B" w:rsidRPr="00E63F6A">
        <w:t xml:space="preserve">Fifty </w:t>
      </w:r>
      <w:r w:rsidR="005137F5" w:rsidRPr="00E63F6A">
        <w:t xml:space="preserve">percent is </w:t>
      </w:r>
      <w:r w:rsidR="00A3687D" w:rsidRPr="00E63F6A">
        <w:t xml:space="preserve">an </w:t>
      </w:r>
      <w:r w:rsidR="005137F5" w:rsidRPr="00E63F6A">
        <w:t>important</w:t>
      </w:r>
      <w:r w:rsidR="00A3687D" w:rsidRPr="00E63F6A">
        <w:t xml:space="preserve"> milestone for benefit </w:t>
      </w:r>
      <w:r w:rsidR="006F77D3" w:rsidRPr="00E63F6A">
        <w:t>realization</w:t>
      </w:r>
      <w:r w:rsidR="00882CF1" w:rsidRPr="00E63F6A">
        <w:t xml:space="preserve">: </w:t>
      </w:r>
      <w:r w:rsidR="005137F5" w:rsidRPr="00E63F6A">
        <w:t xml:space="preserve">we found that </w:t>
      </w:r>
      <w:r w:rsidR="00882CF1" w:rsidRPr="00E63F6A">
        <w:t xml:space="preserve">companies </w:t>
      </w:r>
      <w:r w:rsidR="00357356" w:rsidRPr="00E63F6A">
        <w:t xml:space="preserve">at </w:t>
      </w:r>
      <w:r w:rsidR="005137F5" w:rsidRPr="00E63F6A">
        <w:t>above 50 percent complete</w:t>
      </w:r>
      <w:r w:rsidR="00F5308B" w:rsidRPr="00E63F6A">
        <w:t xml:space="preserve"> in their transformation</w:t>
      </w:r>
      <w:r w:rsidR="005137F5" w:rsidRPr="00E63F6A">
        <w:t xml:space="preserve"> had a 14 percent higher average net margin</w:t>
      </w:r>
      <w:r w:rsidR="00357356" w:rsidRPr="00E63F6A">
        <w:t xml:space="preserve"> than those below 50 percent complete</w:t>
      </w:r>
      <w:r w:rsidR="005137F5" w:rsidRPr="00E63F6A">
        <w:t>.</w:t>
      </w:r>
      <w:r w:rsidR="009E32F9" w:rsidRPr="00E63F6A">
        <w:t xml:space="preserve"> </w:t>
      </w:r>
    </w:p>
    <w:p w14:paraId="16DE97A3" w14:textId="0D5D0612" w:rsidR="007734D6" w:rsidRPr="00E63F6A" w:rsidRDefault="001C57F2" w:rsidP="00E63F6A">
      <w:r w:rsidRPr="00E63F6A">
        <w:t xml:space="preserve">In our survey, </w:t>
      </w:r>
      <w:r w:rsidR="002C10DB" w:rsidRPr="00E63F6A">
        <w:t xml:space="preserve">76 </w:t>
      </w:r>
      <w:r w:rsidR="00A97AA2" w:rsidRPr="00E63F6A">
        <w:t xml:space="preserve">percent </w:t>
      </w:r>
      <w:r w:rsidRPr="00E63F6A">
        <w:t xml:space="preserve">of companies </w:t>
      </w:r>
      <w:r w:rsidR="00A97AA2" w:rsidRPr="00E63F6A">
        <w:t>chose one primary pathway for their digital transformation</w:t>
      </w:r>
      <w:r w:rsidR="002C10DB" w:rsidRPr="00E63F6A">
        <w:t>. Two percent of companies had not started on a transformation.</w:t>
      </w:r>
      <w:r w:rsidRPr="00E63F6A">
        <w:t xml:space="preserve"> </w:t>
      </w:r>
      <w:r w:rsidR="002C10DB" w:rsidRPr="00E63F6A">
        <w:t xml:space="preserve">The </w:t>
      </w:r>
      <w:r w:rsidRPr="00E63F6A">
        <w:t xml:space="preserve">other 22 percent were </w:t>
      </w:r>
      <w:r w:rsidR="003B4C33" w:rsidRPr="00E63F6A">
        <w:t>on multiple pathways</w:t>
      </w:r>
      <w:r w:rsidR="00F5308B" w:rsidRPr="00E63F6A">
        <w:t xml:space="preserve"> at once</w:t>
      </w:r>
      <w:r w:rsidR="003B4C33" w:rsidRPr="00E63F6A">
        <w:t>, either by choice</w:t>
      </w:r>
      <w:r w:rsidR="0071424B" w:rsidRPr="00E63F6A">
        <w:t xml:space="preserve"> (</w:t>
      </w:r>
      <w:r w:rsidR="00113B10" w:rsidRPr="00E63F6A">
        <w:t>for example</w:t>
      </w:r>
      <w:r w:rsidR="0071424B" w:rsidRPr="00E63F6A">
        <w:t xml:space="preserve">, </w:t>
      </w:r>
      <w:r w:rsidR="00113B10" w:rsidRPr="00E63F6A">
        <w:t xml:space="preserve">to fulfill the </w:t>
      </w:r>
      <w:r w:rsidR="0071424B" w:rsidRPr="00E63F6A">
        <w:t>differ</w:t>
      </w:r>
      <w:r w:rsidR="00113B10" w:rsidRPr="00E63F6A">
        <w:t>ing</w:t>
      </w:r>
      <w:r w:rsidR="0071424B" w:rsidRPr="00E63F6A">
        <w:t xml:space="preserve"> </w:t>
      </w:r>
      <w:r w:rsidR="00113B10" w:rsidRPr="00E63F6A">
        <w:t xml:space="preserve">needs of distinct </w:t>
      </w:r>
      <w:r w:rsidR="0071424B" w:rsidRPr="00E63F6A">
        <w:t>business units)</w:t>
      </w:r>
      <w:r w:rsidR="003B4C33" w:rsidRPr="00E63F6A">
        <w:t xml:space="preserve"> or </w:t>
      </w:r>
      <w:r w:rsidR="00113B10" w:rsidRPr="00E63F6A">
        <w:t xml:space="preserve">due to </w:t>
      </w:r>
      <w:r w:rsidR="003B4C33" w:rsidRPr="00E63F6A">
        <w:t xml:space="preserve">lack of strategy. </w:t>
      </w:r>
      <w:r w:rsidR="003B5C01" w:rsidRPr="00E63F6A">
        <w:t xml:space="preserve">Of </w:t>
      </w:r>
      <w:r w:rsidRPr="00E63F6A">
        <w:t>those</w:t>
      </w:r>
      <w:r w:rsidR="003B5C01" w:rsidRPr="00E63F6A">
        <w:t xml:space="preserve"> </w:t>
      </w:r>
      <w:r w:rsidR="00A87AAA" w:rsidRPr="00E63F6A">
        <w:t xml:space="preserve">companies </w:t>
      </w:r>
      <w:r w:rsidR="003B4C33" w:rsidRPr="00E63F6A">
        <w:t>on</w:t>
      </w:r>
      <w:r w:rsidR="003B5C01" w:rsidRPr="00E63F6A">
        <w:t xml:space="preserve"> multiple pathways, more than half (12 percent of </w:t>
      </w:r>
      <w:r w:rsidR="00A87AAA" w:rsidRPr="00E63F6A">
        <w:t xml:space="preserve">companies </w:t>
      </w:r>
      <w:r w:rsidR="003B5C01" w:rsidRPr="00E63F6A">
        <w:t>overall) said they were well coordinated on those pathways</w:t>
      </w:r>
      <w:r w:rsidR="00614E0C" w:rsidRPr="00E63F6A">
        <w:t>—sharing data, processes, and/or components across the pathways</w:t>
      </w:r>
      <w:r w:rsidR="00BA261B" w:rsidRPr="00E63F6A">
        <w:t xml:space="preserve">. These companies </w:t>
      </w:r>
      <w:r w:rsidR="003B5C01" w:rsidRPr="00E63F6A">
        <w:t>had made the most progress</w:t>
      </w:r>
      <w:r w:rsidR="00F5308B" w:rsidRPr="00E63F6A">
        <w:t xml:space="preserve">, assessing </w:t>
      </w:r>
      <w:r w:rsidR="003B5C01" w:rsidRPr="00E63F6A">
        <w:t>their transformation a</w:t>
      </w:r>
      <w:r w:rsidR="00A87AAA" w:rsidRPr="00E63F6A">
        <w:t>t</w:t>
      </w:r>
      <w:r w:rsidR="003B5C01" w:rsidRPr="00E63F6A">
        <w:t xml:space="preserve"> </w:t>
      </w:r>
      <w:r w:rsidR="00A87AAA" w:rsidRPr="00E63F6A">
        <w:t>59</w:t>
      </w:r>
      <w:r w:rsidR="003B5C01" w:rsidRPr="00E63F6A">
        <w:t xml:space="preserve"> percent complete. The </w:t>
      </w:r>
      <w:r w:rsidR="00A87AAA" w:rsidRPr="00E63F6A">
        <w:t xml:space="preserve">companies </w:t>
      </w:r>
      <w:r w:rsidR="00EC14E1" w:rsidRPr="00E63F6A">
        <w:t xml:space="preserve">that were on multiple pathways </w:t>
      </w:r>
      <w:r w:rsidR="00832402" w:rsidRPr="00E63F6A">
        <w:t xml:space="preserve">but </w:t>
      </w:r>
      <w:r w:rsidR="00EC14E1" w:rsidRPr="00E63F6A">
        <w:t xml:space="preserve">not coordinated made </w:t>
      </w:r>
      <w:r w:rsidR="003B5C01" w:rsidRPr="00E63F6A">
        <w:t>the least progress—</w:t>
      </w:r>
      <w:r w:rsidR="002F7911" w:rsidRPr="00E63F6A">
        <w:t>30</w:t>
      </w:r>
      <w:r w:rsidR="003B5C01" w:rsidRPr="00E63F6A">
        <w:t xml:space="preserve"> percent complete. </w:t>
      </w:r>
    </w:p>
    <w:p w14:paraId="0102F1F1" w14:textId="11C66699" w:rsidR="00C37B34" w:rsidRPr="00E63F6A" w:rsidRDefault="00A3687D" w:rsidP="00E63F6A">
      <w:r w:rsidRPr="00E63F6A">
        <w:t xml:space="preserve">One risk we </w:t>
      </w:r>
      <w:r w:rsidR="007734D6" w:rsidRPr="00E63F6A">
        <w:t xml:space="preserve">anticipate </w:t>
      </w:r>
      <w:r w:rsidRPr="00E63F6A">
        <w:t xml:space="preserve">in the next few years is that business units or country leaders will </w:t>
      </w:r>
      <w:r w:rsidR="00113B10" w:rsidRPr="00E63F6A">
        <w:t xml:space="preserve">start </w:t>
      </w:r>
      <w:r w:rsidRPr="00E63F6A">
        <w:t xml:space="preserve">local transformation initiatives </w:t>
      </w:r>
      <w:r w:rsidR="007734D6" w:rsidRPr="00E63F6A">
        <w:t xml:space="preserve">due to frustration </w:t>
      </w:r>
      <w:r w:rsidRPr="00E63F6A">
        <w:t xml:space="preserve">with slow progress on </w:t>
      </w:r>
      <w:r w:rsidR="007734D6" w:rsidRPr="00E63F6A">
        <w:t>company</w:t>
      </w:r>
      <w:r w:rsidRPr="00E63F6A">
        <w:t xml:space="preserve">-wide transformation. </w:t>
      </w:r>
      <w:r w:rsidR="00094905" w:rsidRPr="00E63F6A">
        <w:t>Consequently, t</w:t>
      </w:r>
      <w:r w:rsidR="005E2276" w:rsidRPr="00E63F6A">
        <w:t xml:space="preserve">he </w:t>
      </w:r>
      <w:r w:rsidR="00A87AAA" w:rsidRPr="00E63F6A">
        <w:t>compan</w:t>
      </w:r>
      <w:r w:rsidR="007734D6" w:rsidRPr="00E63F6A">
        <w:t>ies</w:t>
      </w:r>
      <w:r w:rsidR="00A87AAA" w:rsidRPr="00E63F6A">
        <w:t xml:space="preserve"> </w:t>
      </w:r>
      <w:r w:rsidRPr="00E63F6A">
        <w:t xml:space="preserve">will be </w:t>
      </w:r>
      <w:r w:rsidR="003D1C19" w:rsidRPr="00E63F6A">
        <w:t xml:space="preserve">pursuing </w:t>
      </w:r>
      <w:r w:rsidRPr="00E63F6A">
        <w:t xml:space="preserve">multiple pathways </w:t>
      </w:r>
      <w:r w:rsidR="003D1C19" w:rsidRPr="00E63F6A">
        <w:t xml:space="preserve">at once but </w:t>
      </w:r>
      <w:r w:rsidRPr="00E63F6A">
        <w:t>not coordinat</w:t>
      </w:r>
      <w:r w:rsidR="003D1C19" w:rsidRPr="00E63F6A">
        <w:t>ing them</w:t>
      </w:r>
      <w:r w:rsidR="007734D6" w:rsidRPr="00E63F6A">
        <w:t>—</w:t>
      </w:r>
      <w:r w:rsidRPr="00E63F6A">
        <w:t xml:space="preserve">and the financial results will be poor. </w:t>
      </w:r>
      <w:r w:rsidR="003B4C33" w:rsidRPr="00E63F6A">
        <w:t>Choosing</w:t>
      </w:r>
      <w:r w:rsidRPr="00E63F6A">
        <w:t xml:space="preserve"> multiple pathways </w:t>
      </w:r>
      <w:r w:rsidR="003B4C33" w:rsidRPr="00E63F6A">
        <w:t xml:space="preserve">might </w:t>
      </w:r>
      <w:r w:rsidRPr="00E63F6A">
        <w:t xml:space="preserve">make sense for many </w:t>
      </w:r>
      <w:r w:rsidR="00614E0C" w:rsidRPr="00E63F6A">
        <w:t>multi-business unit</w:t>
      </w:r>
      <w:r w:rsidRPr="00E63F6A">
        <w:t xml:space="preserve"> companies</w:t>
      </w:r>
      <w:r w:rsidR="007734D6" w:rsidRPr="00E63F6A">
        <w:t>,</w:t>
      </w:r>
      <w:r w:rsidRPr="00E63F6A">
        <w:t xml:space="preserve"> but </w:t>
      </w:r>
      <w:r w:rsidR="007734D6" w:rsidRPr="00E63F6A">
        <w:t xml:space="preserve">as </w:t>
      </w:r>
      <w:r w:rsidRPr="00E63F6A">
        <w:t>it requires more coordination</w:t>
      </w:r>
      <w:r w:rsidR="007734D6" w:rsidRPr="00E63F6A">
        <w:t>,</w:t>
      </w:r>
      <w:r w:rsidRPr="00E63F6A">
        <w:t xml:space="preserve"> </w:t>
      </w:r>
      <w:r w:rsidR="003B4C33" w:rsidRPr="00E63F6A">
        <w:t>it should be a conscious choice</w:t>
      </w:r>
      <w:r w:rsidR="00723F00" w:rsidRPr="00E63F6A">
        <w:t>.</w:t>
      </w:r>
      <w:r w:rsidR="003B4C33" w:rsidRPr="00E63F6A">
        <w:t xml:space="preserve"> Otherwise</w:t>
      </w:r>
      <w:r w:rsidR="00C54C8A" w:rsidRPr="00E63F6A">
        <w:t>,</w:t>
      </w:r>
      <w:r w:rsidR="003B4C33" w:rsidRPr="00E63F6A">
        <w:t xml:space="preserve"> </w:t>
      </w:r>
      <w:r w:rsidR="007734D6" w:rsidRPr="00E63F6A">
        <w:t>a company</w:t>
      </w:r>
      <w:r w:rsidR="003B4C33" w:rsidRPr="00E63F6A">
        <w:t xml:space="preserve"> </w:t>
      </w:r>
      <w:r w:rsidR="007734D6" w:rsidRPr="00E63F6A">
        <w:t xml:space="preserve">could </w:t>
      </w:r>
      <w:r w:rsidR="003B4C33" w:rsidRPr="00E63F6A">
        <w:t>find itself dealing with conflicting goals, investments</w:t>
      </w:r>
      <w:r w:rsidR="007734D6" w:rsidRPr="00E63F6A">
        <w:t>,</w:t>
      </w:r>
      <w:r w:rsidR="003B4C33" w:rsidRPr="00E63F6A">
        <w:t xml:space="preserve"> and activities, and making less headway </w:t>
      </w:r>
      <w:r w:rsidR="007734D6" w:rsidRPr="00E63F6A">
        <w:t xml:space="preserve">than expected </w:t>
      </w:r>
      <w:r w:rsidR="003B4C33" w:rsidRPr="00E63F6A">
        <w:t>on its transformation.</w:t>
      </w:r>
    </w:p>
    <w:p w14:paraId="05EA3983" w14:textId="77777777" w:rsidR="001E150C" w:rsidRPr="00E63F6A" w:rsidRDefault="00A3687D" w:rsidP="00E63F6A">
      <w:r w:rsidRPr="00E63F6A">
        <w:t>In</w:t>
      </w:r>
      <w:r w:rsidR="001D1D54" w:rsidRPr="00E63F6A">
        <w:t xml:space="preserve"> understanding how companies successfully get to Future Ready, we identified four significant, disruptive changes </w:t>
      </w:r>
      <w:r w:rsidR="00BC150E" w:rsidRPr="00E63F6A">
        <w:t>common to</w:t>
      </w:r>
      <w:r w:rsidR="001D1D54" w:rsidRPr="00E63F6A">
        <w:t xml:space="preserve"> all of the path</w:t>
      </w:r>
      <w:r w:rsidR="007734D6" w:rsidRPr="00E63F6A">
        <w:t>way</w:t>
      </w:r>
      <w:r w:rsidR="001D1D54" w:rsidRPr="00E63F6A">
        <w:t xml:space="preserve">s. We call </w:t>
      </w:r>
      <w:r w:rsidR="00551E67" w:rsidRPr="00E63F6A">
        <w:t xml:space="preserve">these changes </w:t>
      </w:r>
      <w:r w:rsidR="00596146" w:rsidRPr="00E63F6A">
        <w:t>“</w:t>
      </w:r>
      <w:r w:rsidR="001D1D54" w:rsidRPr="00E63F6A">
        <w:t>explosions</w:t>
      </w:r>
      <w:r w:rsidR="00596146" w:rsidRPr="00E63F6A">
        <w:t>”</w:t>
      </w:r>
      <w:r w:rsidR="001D1D54" w:rsidRPr="00E63F6A">
        <w:t xml:space="preserve"> because that’s </w:t>
      </w:r>
      <w:r w:rsidR="00551E67" w:rsidRPr="00E63F6A">
        <w:t xml:space="preserve">what </w:t>
      </w:r>
      <w:r w:rsidR="001D1D54" w:rsidRPr="00E63F6A">
        <w:t>they feel</w:t>
      </w:r>
      <w:r w:rsidR="00551E67" w:rsidRPr="00E63F6A">
        <w:t xml:space="preserve"> like</w:t>
      </w:r>
      <w:r w:rsidR="00596146" w:rsidRPr="00E63F6A">
        <w:t xml:space="preserve">: </w:t>
      </w:r>
      <w:r w:rsidR="00551E67" w:rsidRPr="00E63F6A">
        <w:t>c</w:t>
      </w:r>
      <w:r w:rsidR="001D1D54" w:rsidRPr="00E63F6A">
        <w:t xml:space="preserve">ompanies are blowing up the way they used to do things to remove barriers and move faster. The four explosions are: </w:t>
      </w:r>
    </w:p>
    <w:p w14:paraId="7E23908F" w14:textId="4E82C179" w:rsidR="001D1D54" w:rsidRPr="00E63F6A" w:rsidRDefault="001E150C" w:rsidP="00E63F6A">
      <w:r w:rsidRPr="00E63F6A">
        <w:t xml:space="preserve">1. </w:t>
      </w:r>
      <w:r w:rsidR="001D1D54" w:rsidRPr="00E63F6A">
        <w:t xml:space="preserve">Changing decisions rights: clarifying who has the rights to make which decisions and </w:t>
      </w:r>
      <w:r w:rsidR="002B25ED" w:rsidRPr="00E63F6A">
        <w:t xml:space="preserve">how </w:t>
      </w:r>
      <w:r w:rsidR="001D1D54" w:rsidRPr="00E63F6A">
        <w:t xml:space="preserve">decision makers </w:t>
      </w:r>
      <w:r w:rsidR="002B25ED" w:rsidRPr="00E63F6A">
        <w:t xml:space="preserve">will be held </w:t>
      </w:r>
      <w:r w:rsidR="001D1D54" w:rsidRPr="00E63F6A">
        <w:t xml:space="preserve">accountable </w:t>
      </w:r>
    </w:p>
    <w:p w14:paraId="4C5BA467" w14:textId="61D2F183" w:rsidR="001D1D54" w:rsidRPr="00E63F6A" w:rsidRDefault="001E150C" w:rsidP="00E63F6A">
      <w:r w:rsidRPr="00E63F6A">
        <w:lastRenderedPageBreak/>
        <w:t xml:space="preserve">2. </w:t>
      </w:r>
      <w:r w:rsidR="001D1D54" w:rsidRPr="00E63F6A">
        <w:t xml:space="preserve">Developing new ways of working: changing the </w:t>
      </w:r>
      <w:r w:rsidR="00551E67" w:rsidRPr="00E63F6A">
        <w:t xml:space="preserve">company </w:t>
      </w:r>
      <w:r w:rsidR="001D1D54" w:rsidRPr="00E63F6A">
        <w:t xml:space="preserve">culture through new ways of working </w:t>
      </w:r>
      <w:r w:rsidR="00551E67" w:rsidRPr="00E63F6A">
        <w:t xml:space="preserve">such as </w:t>
      </w:r>
      <w:r w:rsidR="001D1D54" w:rsidRPr="00E63F6A">
        <w:t>agile methodologies, minim</w:t>
      </w:r>
      <w:r w:rsidR="00434772" w:rsidRPr="00E63F6A">
        <w:t>um</w:t>
      </w:r>
      <w:r w:rsidR="001D1D54" w:rsidRPr="00E63F6A">
        <w:t xml:space="preserve"> viable products, co-creating with customers, </w:t>
      </w:r>
      <w:r w:rsidR="00316E65" w:rsidRPr="00E63F6A">
        <w:t xml:space="preserve">and </w:t>
      </w:r>
      <w:r w:rsidR="001D1D54" w:rsidRPr="00E63F6A">
        <w:t>remote working</w:t>
      </w:r>
    </w:p>
    <w:p w14:paraId="48E879F1" w14:textId="4A7BC0A6" w:rsidR="001D1D54" w:rsidRPr="00E63F6A" w:rsidRDefault="001E150C" w:rsidP="00E63F6A">
      <w:r w:rsidRPr="00E63F6A">
        <w:t xml:space="preserve">3. </w:t>
      </w:r>
      <w:r w:rsidR="001D1D54" w:rsidRPr="00E63F6A">
        <w:t>Creating a platform mindset: identifying the organization’s “crown jewels” and converting them into reusable digital services that connect organizational silos for real-time</w:t>
      </w:r>
      <w:r w:rsidR="0071424B" w:rsidRPr="00E63F6A">
        <w:t xml:space="preserve"> transactions, fast innovation</w:t>
      </w:r>
      <w:r w:rsidR="00113B10" w:rsidRPr="00E63F6A">
        <w:t>,</w:t>
      </w:r>
      <w:r w:rsidR="0071424B" w:rsidRPr="00E63F6A">
        <w:t xml:space="preserve"> and easy partnering</w:t>
      </w:r>
    </w:p>
    <w:p w14:paraId="2F33BBAD" w14:textId="2F0784EA" w:rsidR="00885EA6" w:rsidRPr="00E63F6A" w:rsidRDefault="001E150C" w:rsidP="00E63F6A">
      <w:r w:rsidRPr="00E63F6A">
        <w:t xml:space="preserve">4. </w:t>
      </w:r>
      <w:r w:rsidR="001D1D54" w:rsidRPr="00E63F6A">
        <w:t>Performing organizational surgery: removing organizational complexity</w:t>
      </w:r>
      <w:r w:rsidR="00596146" w:rsidRPr="00E63F6A">
        <w:t>,</w:t>
      </w:r>
      <w:r w:rsidR="001D1D54" w:rsidRPr="00E63F6A">
        <w:t xml:space="preserve"> often to achieve better and cheaper multiproduct, multichannel customer experience</w:t>
      </w:r>
    </w:p>
    <w:p w14:paraId="60E1D8E0" w14:textId="4B5FCBC6" w:rsidR="003F2048" w:rsidRPr="00E63F6A" w:rsidRDefault="007E12CA" w:rsidP="00E63F6A">
      <w:r w:rsidRPr="00E63F6A">
        <w:t>Explicitly discussing how to manage</w:t>
      </w:r>
      <w:r w:rsidR="00AA1D59" w:rsidRPr="00E63F6A">
        <w:t xml:space="preserve"> the explosions</w:t>
      </w:r>
      <w:r w:rsidRPr="00E63F6A">
        <w:t xml:space="preserve"> and </w:t>
      </w:r>
      <w:r w:rsidR="00AA1D59" w:rsidRPr="00E63F6A">
        <w:t xml:space="preserve">who </w:t>
      </w:r>
      <w:r w:rsidRPr="00E63F6A">
        <w:t xml:space="preserve">will </w:t>
      </w:r>
      <w:r w:rsidR="00596146" w:rsidRPr="00E63F6A">
        <w:t>do so</w:t>
      </w:r>
      <w:r w:rsidRPr="00E63F6A">
        <w:t xml:space="preserve"> helps keep the enterprise focused.</w:t>
      </w:r>
      <w:r w:rsidR="00316E65" w:rsidRPr="00E63F6A">
        <w:t xml:space="preserve"> Managing these changes was a high priority at CEMEX, which </w:t>
      </w:r>
      <w:r w:rsidR="00400C2C" w:rsidRPr="00E63F6A">
        <w:t>followed Path</w:t>
      </w:r>
      <w:r w:rsidR="00C54C8A" w:rsidRPr="00E63F6A">
        <w:t>way</w:t>
      </w:r>
      <w:r w:rsidR="00400C2C" w:rsidRPr="00E63F6A">
        <w:t xml:space="preserve"> </w:t>
      </w:r>
      <w:r w:rsidR="00C54C8A" w:rsidRPr="00E63F6A">
        <w:t>2 and</w:t>
      </w:r>
      <w:r w:rsidR="00400C2C" w:rsidRPr="00E63F6A">
        <w:t xml:space="preserve"> significantly improv</w:t>
      </w:r>
      <w:r w:rsidR="00C54C8A" w:rsidRPr="00E63F6A">
        <w:t>ed</w:t>
      </w:r>
      <w:r w:rsidR="00400C2C" w:rsidRPr="00E63F6A">
        <w:t xml:space="preserve"> </w:t>
      </w:r>
      <w:r w:rsidR="00316E65" w:rsidRPr="00E63F6A">
        <w:t>its</w:t>
      </w:r>
      <w:r w:rsidR="00400C2C" w:rsidRPr="00E63F6A">
        <w:t xml:space="preserve"> customer experience with the </w:t>
      </w:r>
      <w:r w:rsidR="00C54C8A" w:rsidRPr="00E63F6A">
        <w:t xml:space="preserve">introduction and </w:t>
      </w:r>
      <w:r w:rsidR="00400C2C" w:rsidRPr="00E63F6A">
        <w:t>success of CEMEX GO</w:t>
      </w:r>
      <w:r w:rsidR="00316E65" w:rsidRPr="00E63F6A">
        <w:t>.</w:t>
      </w:r>
      <w:r w:rsidR="001E150C" w:rsidRPr="00E63F6A">
        <w:t xml:space="preserve"> Fernando Gonzalez, CEO of CEME said “</w:t>
      </w:r>
      <w:r w:rsidRPr="00E63F6A">
        <w:t>Deciding which particular pathway to follow was just the first step in our business transformation journey</w:t>
      </w:r>
      <w:r w:rsidR="00316E65" w:rsidRPr="00E63F6A">
        <w:t xml:space="preserve">; </w:t>
      </w:r>
      <w:r w:rsidRPr="00E63F6A">
        <w:t>the bigger challenge as a CEO was to closely manage the organizational changes required to build a truly digital enterprise. Beyond the technological implications, change management efforts need to be at the top of the CEO</w:t>
      </w:r>
      <w:r w:rsidR="00316E65" w:rsidRPr="00E63F6A">
        <w:t>’s</w:t>
      </w:r>
      <w:r w:rsidRPr="00E63F6A">
        <w:t xml:space="preserve"> agenda.</w:t>
      </w:r>
      <w:r w:rsidR="001E150C" w:rsidRPr="00E63F6A">
        <w:t>”</w:t>
      </w:r>
    </w:p>
    <w:p w14:paraId="4B279A44" w14:textId="35194DB0" w:rsidR="00C37B34" w:rsidRPr="00E63F6A" w:rsidRDefault="00A3687D" w:rsidP="00E63F6A">
      <w:r w:rsidRPr="00E63F6A">
        <w:t xml:space="preserve">Companies </w:t>
      </w:r>
      <w:r w:rsidR="00596146" w:rsidRPr="00E63F6A">
        <w:t xml:space="preserve">in our research </w:t>
      </w:r>
      <w:r w:rsidR="00291DDD" w:rsidRPr="00E63F6A">
        <w:t>whose transformation was a</w:t>
      </w:r>
      <w:r w:rsidRPr="00E63F6A">
        <w:t xml:space="preserve"> higher percent complete were statistically more effective at dealing with </w:t>
      </w:r>
      <w:r w:rsidR="00F37606" w:rsidRPr="00E63F6A">
        <w:t xml:space="preserve">each of the </w:t>
      </w:r>
      <w:r w:rsidRPr="00E63F6A">
        <w:t xml:space="preserve">four explosions. </w:t>
      </w:r>
      <w:r w:rsidR="001A405C" w:rsidRPr="00E63F6A">
        <w:t xml:space="preserve">None of the explosions are easy to </w:t>
      </w:r>
      <w:r w:rsidR="00291DDD" w:rsidRPr="00E63F6A">
        <w:t xml:space="preserve">navigate, </w:t>
      </w:r>
      <w:r w:rsidR="001A405C" w:rsidRPr="00E63F6A">
        <w:t xml:space="preserve">but top performers </w:t>
      </w:r>
      <w:r w:rsidR="00291DDD" w:rsidRPr="00E63F6A">
        <w:t>achieve</w:t>
      </w:r>
      <w:r w:rsidR="001A405C" w:rsidRPr="00E63F6A">
        <w:t xml:space="preserve"> around 70</w:t>
      </w:r>
      <w:r w:rsidR="00291DDD" w:rsidRPr="00E63F6A">
        <w:t xml:space="preserve"> percent </w:t>
      </w:r>
      <w:r w:rsidR="001A405C" w:rsidRPr="00E63F6A">
        <w:t>effectiveness on all four.</w:t>
      </w:r>
      <w:r w:rsidRPr="00E63F6A">
        <w:t xml:space="preserve"> How do you compare?</w:t>
      </w:r>
    </w:p>
    <w:p w14:paraId="6B1ABA01" w14:textId="13A6C9F9" w:rsidR="00596146" w:rsidRPr="00E63F6A" w:rsidRDefault="00596146" w:rsidP="00E63F6A">
      <w:r w:rsidRPr="00E63F6A">
        <w:t>In our workshops and presentations, we are often asked which of these explosions should be dealt with first. The results of our analysis of case vignettes and survey data suggests that</w:t>
      </w:r>
      <w:r w:rsidR="00094905" w:rsidRPr="00E63F6A">
        <w:t>,</w:t>
      </w:r>
      <w:r w:rsidRPr="00E63F6A">
        <w:t xml:space="preserve"> no matter which pathway you are on</w:t>
      </w:r>
      <w:r w:rsidR="00094905" w:rsidRPr="00E63F6A">
        <w:t>,</w:t>
      </w:r>
      <w:r w:rsidRPr="00E63F6A">
        <w:t xml:space="preserve"> the first explosion to focus on is decision rights. We hear of many companies starting their transformation with a reorganization—performing organizational surgery. Putting a stake in the ground too early risks making changes that stabilize the wrong parts of the enterprise. While a reorganization is a strong signal to all of your employees, we find in most instances the result of reorganizing </w:t>
      </w:r>
      <w:r w:rsidR="00355A97" w:rsidRPr="00E63F6A">
        <w:t xml:space="preserve">first is </w:t>
      </w:r>
      <w:r w:rsidR="00CE37DE" w:rsidRPr="00E63F6A">
        <w:t xml:space="preserve">that </w:t>
      </w:r>
      <w:r w:rsidR="00355A97" w:rsidRPr="00E63F6A">
        <w:t xml:space="preserve">subsequent changes </w:t>
      </w:r>
      <w:r w:rsidR="00CE37DE" w:rsidRPr="00E63F6A">
        <w:t>could</w:t>
      </w:r>
      <w:r w:rsidR="00355A97" w:rsidRPr="00E63F6A">
        <w:t xml:space="preserve"> immerse the company in conflict, </w:t>
      </w:r>
      <w:r w:rsidRPr="00E63F6A">
        <w:t>eventually provoking additional organization</w:t>
      </w:r>
      <w:r w:rsidR="00094905" w:rsidRPr="00E63F6A">
        <w:t>al</w:t>
      </w:r>
      <w:r w:rsidRPr="00E63F6A">
        <w:t xml:space="preserve"> surgery. Instead, </w:t>
      </w:r>
      <w:r w:rsidR="00355A97" w:rsidRPr="00E63F6A">
        <w:t>we’ve found</w:t>
      </w:r>
      <w:r w:rsidRPr="00E63F6A">
        <w:t xml:space="preserve"> that clarifying who is responsible for the key decisions </w:t>
      </w:r>
      <w:r w:rsidR="00355A97" w:rsidRPr="00E63F6A">
        <w:t xml:space="preserve">on </w:t>
      </w:r>
      <w:r w:rsidRPr="00E63F6A">
        <w:t xml:space="preserve">digital, </w:t>
      </w:r>
      <w:r w:rsidR="00355A97" w:rsidRPr="00E63F6A">
        <w:t>such as how to invest</w:t>
      </w:r>
      <w:r w:rsidRPr="00E63F6A">
        <w:t xml:space="preserve">, is critical and the best place to start. </w:t>
      </w:r>
    </w:p>
    <w:p w14:paraId="6168F281" w14:textId="64D4360E" w:rsidR="00FA7DF4" w:rsidRPr="00E63F6A" w:rsidRDefault="00FA5FB5" w:rsidP="00E63F6A">
      <w:r w:rsidRPr="00E63F6A">
        <w:t>Digital transformation is urgent for most companies. And while digital transformation is doable, achieving a Future Ready state is more challenging. The bar of what Future Ready means is rising as every company improves. It takes a strong, consistent vision to become Future Ready—but even that is not enough. It also requires that the top management team and the company agree on a pathway for the journey and expertly and proactively deal with the organizational explosions.</w:t>
      </w:r>
    </w:p>
    <w:p w14:paraId="4B148298" w14:textId="77777777" w:rsidR="004E5076" w:rsidRPr="00E63F6A" w:rsidRDefault="004E5076" w:rsidP="00E63F6A">
      <w:r w:rsidRPr="00E63F6A">
        <w:t>Thanks for listening to this reading of MIT CISR research. Get free access to more research on our website at cisr.mit.edu.</w:t>
      </w:r>
    </w:p>
    <w:p w14:paraId="3C2AA54E" w14:textId="77777777" w:rsidR="004E5076" w:rsidRPr="00E63F6A" w:rsidRDefault="004E5076" w:rsidP="00E63F6A"/>
    <w:sectPr w:rsidR="004E5076" w:rsidRPr="00E63F6A" w:rsidSect="00F5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8CA0" w16cex:dateUtc="2021-02-16T23:25:00Z"/>
  <w16cex:commentExtensible w16cex:durableId="23D0FA45" w16cex:dateUtc="2021-02-12T17:59:00Z"/>
  <w16cex:commentExtensible w16cex:durableId="23D68D49" w16cex:dateUtc="2021-02-16T23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BDA1" w14:textId="77777777" w:rsidR="002375FB" w:rsidRDefault="002375FB" w:rsidP="00885EA6">
      <w:r>
        <w:separator/>
      </w:r>
    </w:p>
  </w:endnote>
  <w:endnote w:type="continuationSeparator" w:id="0">
    <w:p w14:paraId="0D43A47A" w14:textId="77777777" w:rsidR="002375FB" w:rsidRDefault="002375FB" w:rsidP="008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1276" w14:textId="77777777" w:rsidR="002375FB" w:rsidRDefault="002375FB" w:rsidP="00885EA6">
      <w:r>
        <w:separator/>
      </w:r>
    </w:p>
  </w:footnote>
  <w:footnote w:type="continuationSeparator" w:id="0">
    <w:p w14:paraId="3C5B7D7F" w14:textId="77777777" w:rsidR="002375FB" w:rsidRDefault="002375FB" w:rsidP="0088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AB9"/>
    <w:multiLevelType w:val="hybridMultilevel"/>
    <w:tmpl w:val="77B6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4A6"/>
    <w:multiLevelType w:val="hybridMultilevel"/>
    <w:tmpl w:val="62EC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ABB"/>
    <w:multiLevelType w:val="hybridMultilevel"/>
    <w:tmpl w:val="7BAE4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F42"/>
    <w:multiLevelType w:val="hybridMultilevel"/>
    <w:tmpl w:val="5F64D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5DCD"/>
    <w:multiLevelType w:val="hybridMultilevel"/>
    <w:tmpl w:val="8CBA6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066F3"/>
    <w:multiLevelType w:val="hybridMultilevel"/>
    <w:tmpl w:val="7D70D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256B4"/>
    <w:multiLevelType w:val="hybridMultilevel"/>
    <w:tmpl w:val="DA70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1DA82A8-F1CA-40C3-BF6F-E9BDD0527D31}"/>
    <w:docVar w:name="dgnword-eventsink" w:val="365973200"/>
    <w:docVar w:name="dgnword-lastRevisionsView" w:val="0"/>
  </w:docVars>
  <w:rsids>
    <w:rsidRoot w:val="00885EA6"/>
    <w:rsid w:val="00066298"/>
    <w:rsid w:val="00094905"/>
    <w:rsid w:val="00100E3F"/>
    <w:rsid w:val="00113B10"/>
    <w:rsid w:val="00176DB8"/>
    <w:rsid w:val="001A2D94"/>
    <w:rsid w:val="001A405C"/>
    <w:rsid w:val="001C470B"/>
    <w:rsid w:val="001C57F2"/>
    <w:rsid w:val="001D1D54"/>
    <w:rsid w:val="001E150C"/>
    <w:rsid w:val="00224B2B"/>
    <w:rsid w:val="00233DDD"/>
    <w:rsid w:val="00236E8A"/>
    <w:rsid w:val="002375FB"/>
    <w:rsid w:val="00277D68"/>
    <w:rsid w:val="00291DDD"/>
    <w:rsid w:val="002956B4"/>
    <w:rsid w:val="002A49CE"/>
    <w:rsid w:val="002B25ED"/>
    <w:rsid w:val="002C10DB"/>
    <w:rsid w:val="002E577B"/>
    <w:rsid w:val="002F3FE1"/>
    <w:rsid w:val="002F7911"/>
    <w:rsid w:val="00316E65"/>
    <w:rsid w:val="00355A97"/>
    <w:rsid w:val="00357356"/>
    <w:rsid w:val="00381227"/>
    <w:rsid w:val="00386F3E"/>
    <w:rsid w:val="00391B2D"/>
    <w:rsid w:val="00392E47"/>
    <w:rsid w:val="003947DE"/>
    <w:rsid w:val="003A2C19"/>
    <w:rsid w:val="003B4C33"/>
    <w:rsid w:val="003B5C01"/>
    <w:rsid w:val="003C1406"/>
    <w:rsid w:val="003C727E"/>
    <w:rsid w:val="003D1C19"/>
    <w:rsid w:val="003E2D44"/>
    <w:rsid w:val="003F2048"/>
    <w:rsid w:val="00400C2C"/>
    <w:rsid w:val="00406ED5"/>
    <w:rsid w:val="00434376"/>
    <w:rsid w:val="00434772"/>
    <w:rsid w:val="00440028"/>
    <w:rsid w:val="00440B57"/>
    <w:rsid w:val="00473518"/>
    <w:rsid w:val="004A09A0"/>
    <w:rsid w:val="004A17AC"/>
    <w:rsid w:val="004A74A7"/>
    <w:rsid w:val="004B164D"/>
    <w:rsid w:val="004E0F0A"/>
    <w:rsid w:val="004E5076"/>
    <w:rsid w:val="00500ECA"/>
    <w:rsid w:val="00501992"/>
    <w:rsid w:val="005137F5"/>
    <w:rsid w:val="00537E09"/>
    <w:rsid w:val="00551E67"/>
    <w:rsid w:val="0056550E"/>
    <w:rsid w:val="00596146"/>
    <w:rsid w:val="005A1555"/>
    <w:rsid w:val="005A4822"/>
    <w:rsid w:val="005B09AB"/>
    <w:rsid w:val="005B280F"/>
    <w:rsid w:val="005D67A6"/>
    <w:rsid w:val="005E2276"/>
    <w:rsid w:val="00614E0C"/>
    <w:rsid w:val="00663655"/>
    <w:rsid w:val="006A0056"/>
    <w:rsid w:val="006C7736"/>
    <w:rsid w:val="006F77D3"/>
    <w:rsid w:val="00713702"/>
    <w:rsid w:val="0071424B"/>
    <w:rsid w:val="00723F00"/>
    <w:rsid w:val="007312F4"/>
    <w:rsid w:val="00767D00"/>
    <w:rsid w:val="007734D6"/>
    <w:rsid w:val="007D41DC"/>
    <w:rsid w:val="007D6BB3"/>
    <w:rsid w:val="007E12CA"/>
    <w:rsid w:val="007E34FC"/>
    <w:rsid w:val="007E69F2"/>
    <w:rsid w:val="00820705"/>
    <w:rsid w:val="00832402"/>
    <w:rsid w:val="008362E6"/>
    <w:rsid w:val="00845093"/>
    <w:rsid w:val="008565D2"/>
    <w:rsid w:val="00865FE5"/>
    <w:rsid w:val="0087107E"/>
    <w:rsid w:val="008735C1"/>
    <w:rsid w:val="00882CF1"/>
    <w:rsid w:val="00885EA6"/>
    <w:rsid w:val="008B1C2E"/>
    <w:rsid w:val="008E091E"/>
    <w:rsid w:val="008E2262"/>
    <w:rsid w:val="008E39F7"/>
    <w:rsid w:val="008E6A61"/>
    <w:rsid w:val="0090091B"/>
    <w:rsid w:val="00900F14"/>
    <w:rsid w:val="00906711"/>
    <w:rsid w:val="0093001B"/>
    <w:rsid w:val="00936069"/>
    <w:rsid w:val="00952F18"/>
    <w:rsid w:val="00973359"/>
    <w:rsid w:val="00977045"/>
    <w:rsid w:val="009912CB"/>
    <w:rsid w:val="009A51F5"/>
    <w:rsid w:val="009E32F9"/>
    <w:rsid w:val="00A23253"/>
    <w:rsid w:val="00A3687D"/>
    <w:rsid w:val="00A40FB1"/>
    <w:rsid w:val="00A41506"/>
    <w:rsid w:val="00A66FDC"/>
    <w:rsid w:val="00A859C4"/>
    <w:rsid w:val="00A87AAA"/>
    <w:rsid w:val="00A97AA2"/>
    <w:rsid w:val="00AA1D59"/>
    <w:rsid w:val="00AB38C8"/>
    <w:rsid w:val="00AD1F82"/>
    <w:rsid w:val="00AD7A0E"/>
    <w:rsid w:val="00AF521B"/>
    <w:rsid w:val="00B0786F"/>
    <w:rsid w:val="00B323E5"/>
    <w:rsid w:val="00B35596"/>
    <w:rsid w:val="00B3789D"/>
    <w:rsid w:val="00B44E17"/>
    <w:rsid w:val="00B77BEE"/>
    <w:rsid w:val="00B85F76"/>
    <w:rsid w:val="00BA261B"/>
    <w:rsid w:val="00BC150E"/>
    <w:rsid w:val="00BC4D8E"/>
    <w:rsid w:val="00BD268C"/>
    <w:rsid w:val="00BE1869"/>
    <w:rsid w:val="00C1769D"/>
    <w:rsid w:val="00C231A9"/>
    <w:rsid w:val="00C37B34"/>
    <w:rsid w:val="00C526DE"/>
    <w:rsid w:val="00C54C8A"/>
    <w:rsid w:val="00C7442E"/>
    <w:rsid w:val="00C81042"/>
    <w:rsid w:val="00C84605"/>
    <w:rsid w:val="00CE1F92"/>
    <w:rsid w:val="00CE37DE"/>
    <w:rsid w:val="00CE557E"/>
    <w:rsid w:val="00D37D01"/>
    <w:rsid w:val="00D46E9A"/>
    <w:rsid w:val="00D70B5C"/>
    <w:rsid w:val="00D961D4"/>
    <w:rsid w:val="00D9717A"/>
    <w:rsid w:val="00DB76C8"/>
    <w:rsid w:val="00DC5703"/>
    <w:rsid w:val="00DD6A27"/>
    <w:rsid w:val="00DE4F5D"/>
    <w:rsid w:val="00E21744"/>
    <w:rsid w:val="00E31929"/>
    <w:rsid w:val="00E62565"/>
    <w:rsid w:val="00E63F6A"/>
    <w:rsid w:val="00E72437"/>
    <w:rsid w:val="00E8184E"/>
    <w:rsid w:val="00E87913"/>
    <w:rsid w:val="00EA6E7A"/>
    <w:rsid w:val="00EB350F"/>
    <w:rsid w:val="00EC14E1"/>
    <w:rsid w:val="00ED3894"/>
    <w:rsid w:val="00ED39F5"/>
    <w:rsid w:val="00EE7497"/>
    <w:rsid w:val="00F333D0"/>
    <w:rsid w:val="00F37606"/>
    <w:rsid w:val="00F43BD4"/>
    <w:rsid w:val="00F5308B"/>
    <w:rsid w:val="00F56CE4"/>
    <w:rsid w:val="00F714E5"/>
    <w:rsid w:val="00F91985"/>
    <w:rsid w:val="00F96F92"/>
    <w:rsid w:val="00FA5FB5"/>
    <w:rsid w:val="00FA7DF4"/>
    <w:rsid w:val="00FB4A17"/>
    <w:rsid w:val="00FC0722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9E13"/>
  <w14:defaultImageDpi w14:val="32767"/>
  <w15:chartTrackingRefBased/>
  <w15:docId w15:val="{4EB67BEC-CABE-A041-8EE9-EE9FBF4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4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1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E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E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EA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1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D54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D54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3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3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0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859C4"/>
  </w:style>
  <w:style w:type="paragraph" w:styleId="Quote">
    <w:name w:val="Quote"/>
    <w:basedOn w:val="Normal"/>
    <w:next w:val="Normal"/>
    <w:link w:val="QuoteChar"/>
    <w:uiPriority w:val="29"/>
    <w:qFormat/>
    <w:rsid w:val="003F2048"/>
    <w:pPr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5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357">
          <w:marLeft w:val="27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6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4684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92035">
          <w:marLeft w:val="118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7689">
                  <w:marLeft w:val="0"/>
                  <w:marRight w:val="0"/>
                  <w:marTop w:val="9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FDF11-279F-3F4B-9157-48A5546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 Woerner</dc:creator>
  <cp:keywords/>
  <dc:description/>
  <cp:lastModifiedBy>Cheryl A Miller</cp:lastModifiedBy>
  <cp:revision>6</cp:revision>
  <dcterms:created xsi:type="dcterms:W3CDTF">2021-07-19T17:37:00Z</dcterms:created>
  <dcterms:modified xsi:type="dcterms:W3CDTF">2021-07-19T20:26:00Z</dcterms:modified>
</cp:coreProperties>
</file>