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Welcome to the MIT CISR research briefing series. The Center for Information Systems Research is based at the Sloan School of Management at MIT. We study digital transformation.</w:t>
      </w:r>
    </w:p>
    <w:p w:rsidR="00697DD1"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Joaquin </w:t>
      </w:r>
      <w:proofErr w:type="spellStart"/>
      <w:r>
        <w:rPr>
          <w:rFonts w:ascii="Calibri" w:eastAsia="Calibri" w:hAnsi="Calibri" w:cs="Calibri"/>
          <w:color w:val="000000"/>
          <w:sz w:val="22"/>
        </w:rPr>
        <w:t>Rodrigu</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 xml:space="preserve">Hi, I'm Joaquin Rodriguez, Assistant Professor of Information Systems at Grenoble Ecole de Management, </w:t>
      </w:r>
      <w:r w:rsidR="00697DD1">
        <w:rPr>
          <w:rFonts w:ascii="Calibri" w:eastAsia="Calibri" w:hAnsi="Calibri" w:cs="Calibri"/>
          <w:color w:val="000000"/>
          <w:sz w:val="22"/>
        </w:rPr>
        <w:t>and</w:t>
      </w:r>
      <w:r>
        <w:rPr>
          <w:rFonts w:ascii="Calibri" w:eastAsia="Calibri" w:hAnsi="Calibri" w:cs="Calibri"/>
          <w:color w:val="000000"/>
          <w:sz w:val="22"/>
        </w:rPr>
        <w:t xml:space="preserve"> a current research collaborator with MIT CISR. Today</w:t>
      </w:r>
      <w:r>
        <w:rPr>
          <w:rFonts w:ascii="Calibri" w:eastAsia="Calibri" w:hAnsi="Calibri" w:cs="Calibri"/>
          <w:color w:val="000000"/>
          <w:sz w:val="22"/>
        </w:rPr>
        <w:t xml:space="preserve"> I'm excited to share with you the November</w:t>
      </w:r>
      <w:r>
        <w:rPr>
          <w:rFonts w:ascii="Calibri" w:eastAsia="Calibri" w:hAnsi="Calibri" w:cs="Calibri"/>
          <w:color w:val="000000"/>
          <w:sz w:val="22"/>
        </w:rPr>
        <w:t xml:space="preserve"> 2021 research briefing that I </w:t>
      </w:r>
      <w:r w:rsidR="00697DD1">
        <w:rPr>
          <w:rFonts w:ascii="Calibri" w:eastAsia="Calibri" w:hAnsi="Calibri" w:cs="Calibri"/>
          <w:color w:val="000000"/>
          <w:sz w:val="22"/>
        </w:rPr>
        <w:t xml:space="preserve">co-authored </w:t>
      </w:r>
      <w:r>
        <w:rPr>
          <w:rFonts w:ascii="Calibri" w:eastAsia="Calibri" w:hAnsi="Calibri" w:cs="Calibri"/>
          <w:color w:val="000000"/>
          <w:sz w:val="22"/>
        </w:rPr>
        <w:t xml:space="preserve">with Gabriele </w:t>
      </w:r>
      <w:proofErr w:type="spellStart"/>
      <w:r>
        <w:rPr>
          <w:rFonts w:ascii="Calibri" w:eastAsia="Calibri" w:hAnsi="Calibri" w:cs="Calibri"/>
          <w:color w:val="000000"/>
          <w:sz w:val="22"/>
        </w:rPr>
        <w:t>Piccoli</w:t>
      </w:r>
      <w:proofErr w:type="spellEnd"/>
      <w:r>
        <w:rPr>
          <w:rFonts w:ascii="Calibri" w:eastAsia="Calibri" w:hAnsi="Calibri" w:cs="Calibri"/>
          <w:color w:val="000000"/>
          <w:sz w:val="22"/>
        </w:rPr>
        <w:t xml:space="preserve"> and Barbara Wixom, </w:t>
      </w:r>
      <w:r w:rsidR="00697DD1">
        <w:rPr>
          <w:rFonts w:ascii="Calibri" w:eastAsia="Calibri" w:hAnsi="Calibri" w:cs="Calibri"/>
          <w:color w:val="000000"/>
          <w:sz w:val="22"/>
        </w:rPr>
        <w:t>“I</w:t>
      </w:r>
      <w:r>
        <w:rPr>
          <w:rFonts w:ascii="Calibri" w:eastAsia="Calibri" w:hAnsi="Calibri" w:cs="Calibri"/>
          <w:color w:val="000000"/>
          <w:sz w:val="22"/>
        </w:rPr>
        <w:t xml:space="preserve">ncrease </w:t>
      </w:r>
      <w:r w:rsidR="00697DD1">
        <w:rPr>
          <w:rFonts w:ascii="Calibri" w:eastAsia="Calibri" w:hAnsi="Calibri" w:cs="Calibri"/>
          <w:color w:val="000000"/>
          <w:sz w:val="22"/>
        </w:rPr>
        <w:t>D</w:t>
      </w:r>
      <w:r>
        <w:rPr>
          <w:rFonts w:ascii="Calibri" w:eastAsia="Calibri" w:hAnsi="Calibri" w:cs="Calibri"/>
          <w:color w:val="000000"/>
          <w:sz w:val="22"/>
        </w:rPr>
        <w:t xml:space="preserve">ata </w:t>
      </w:r>
      <w:r w:rsidR="00697DD1">
        <w:rPr>
          <w:rFonts w:ascii="Calibri" w:eastAsia="Calibri" w:hAnsi="Calibri" w:cs="Calibri"/>
          <w:color w:val="000000"/>
          <w:sz w:val="22"/>
        </w:rPr>
        <w:t>L</w:t>
      </w:r>
      <w:r>
        <w:rPr>
          <w:rFonts w:ascii="Calibri" w:eastAsia="Calibri" w:hAnsi="Calibri" w:cs="Calibri"/>
          <w:color w:val="000000"/>
          <w:sz w:val="22"/>
        </w:rPr>
        <w:t xml:space="preserve">iquidity by </w:t>
      </w:r>
      <w:r w:rsidR="00697DD1">
        <w:rPr>
          <w:rFonts w:ascii="Calibri" w:eastAsia="Calibri" w:hAnsi="Calibri" w:cs="Calibri"/>
          <w:color w:val="000000"/>
          <w:sz w:val="22"/>
        </w:rPr>
        <w:t>B</w:t>
      </w:r>
      <w:r>
        <w:rPr>
          <w:rFonts w:ascii="Calibri" w:eastAsia="Calibri" w:hAnsi="Calibri" w:cs="Calibri"/>
          <w:color w:val="000000"/>
          <w:sz w:val="22"/>
        </w:rPr>
        <w:t xml:space="preserve">uilding </w:t>
      </w:r>
      <w:r w:rsidR="00697DD1">
        <w:rPr>
          <w:rFonts w:ascii="Calibri" w:eastAsia="Calibri" w:hAnsi="Calibri" w:cs="Calibri"/>
          <w:color w:val="000000"/>
          <w:sz w:val="22"/>
        </w:rPr>
        <w:t>D</w:t>
      </w:r>
      <w:r>
        <w:rPr>
          <w:rFonts w:ascii="Calibri" w:eastAsia="Calibri" w:hAnsi="Calibri" w:cs="Calibri"/>
          <w:color w:val="000000"/>
          <w:sz w:val="22"/>
        </w:rPr>
        <w:t xml:space="preserve">igital </w:t>
      </w:r>
      <w:r w:rsidR="00697DD1">
        <w:rPr>
          <w:rFonts w:ascii="Calibri" w:eastAsia="Calibri" w:hAnsi="Calibri" w:cs="Calibri"/>
          <w:color w:val="000000"/>
          <w:sz w:val="22"/>
        </w:rPr>
        <w:t>D</w:t>
      </w:r>
      <w:r>
        <w:rPr>
          <w:rFonts w:ascii="Calibri" w:eastAsia="Calibri" w:hAnsi="Calibri" w:cs="Calibri"/>
          <w:color w:val="000000"/>
          <w:sz w:val="22"/>
        </w:rPr>
        <w:t xml:space="preserve">ata </w:t>
      </w:r>
      <w:r w:rsidR="00697DD1">
        <w:rPr>
          <w:rFonts w:ascii="Calibri" w:eastAsia="Calibri" w:hAnsi="Calibri" w:cs="Calibri"/>
          <w:color w:val="000000"/>
          <w:sz w:val="22"/>
        </w:rPr>
        <w:t>A</w:t>
      </w:r>
      <w:r>
        <w:rPr>
          <w:rFonts w:ascii="Calibri" w:eastAsia="Calibri" w:hAnsi="Calibri" w:cs="Calibri"/>
          <w:color w:val="000000"/>
          <w:sz w:val="22"/>
        </w:rPr>
        <w:t>ssets</w:t>
      </w:r>
      <w:r>
        <w:rPr>
          <w:rFonts w:ascii="Calibri" w:eastAsia="Calibri" w:hAnsi="Calibri" w:cs="Calibri"/>
          <w:color w:val="000000"/>
          <w:sz w:val="22"/>
        </w:rPr>
        <w:t>.</w:t>
      </w:r>
      <w:r w:rsidR="00697DD1">
        <w:rPr>
          <w:rFonts w:ascii="Calibri" w:eastAsia="Calibri" w:hAnsi="Calibri" w:cs="Calibri"/>
          <w:color w:val="000000"/>
          <w:sz w:val="22"/>
        </w:rPr>
        <w:t>”</w:t>
      </w:r>
      <w:r>
        <w:rPr>
          <w:rFonts w:ascii="Calibri" w:eastAsia="Calibri" w:hAnsi="Calibri" w:cs="Calibri"/>
          <w:color w:val="000000"/>
          <w:sz w:val="22"/>
        </w:rPr>
        <w:t xml:space="preserve"> </w:t>
      </w:r>
    </w:p>
    <w:p w:rsidR="00697DD1" w:rsidRDefault="00033A19" w:rsidP="00697DD1">
      <w:pPr>
        <w:spacing w:before="240" w:beforeAutospacing="1"/>
        <w:ind w:left="2160"/>
        <w:rPr>
          <w:rFonts w:ascii="Calibri" w:eastAsia="Calibri" w:hAnsi="Calibri" w:cs="Calibri"/>
          <w:color w:val="000000"/>
          <w:sz w:val="22"/>
        </w:rPr>
      </w:pPr>
      <w:r>
        <w:rPr>
          <w:rFonts w:ascii="Calibri" w:eastAsia="Calibri" w:hAnsi="Calibri" w:cs="Calibri"/>
          <w:color w:val="000000"/>
          <w:sz w:val="22"/>
        </w:rPr>
        <w:t>Future</w:t>
      </w:r>
      <w:r w:rsidR="00697DD1">
        <w:rPr>
          <w:rFonts w:ascii="Calibri" w:eastAsia="Calibri" w:hAnsi="Calibri" w:cs="Calibri"/>
          <w:color w:val="000000"/>
          <w:sz w:val="22"/>
        </w:rPr>
        <w:t>-</w:t>
      </w:r>
      <w:r>
        <w:rPr>
          <w:rFonts w:ascii="Calibri" w:eastAsia="Calibri" w:hAnsi="Calibri" w:cs="Calibri"/>
          <w:color w:val="000000"/>
          <w:sz w:val="22"/>
        </w:rPr>
        <w:t xml:space="preserve">ready companies monetize their data assets by </w:t>
      </w:r>
      <w:r w:rsidRPr="00697DD1">
        <w:rPr>
          <w:rFonts w:ascii="Calibri" w:eastAsia="Calibri" w:hAnsi="Calibri" w:cs="Calibri"/>
          <w:b/>
          <w:color w:val="000000"/>
          <w:sz w:val="22"/>
        </w:rPr>
        <w:t>improving</w:t>
      </w:r>
      <w:r>
        <w:rPr>
          <w:rFonts w:ascii="Calibri" w:eastAsia="Calibri" w:hAnsi="Calibri" w:cs="Calibri"/>
          <w:color w:val="000000"/>
          <w:sz w:val="22"/>
        </w:rPr>
        <w:t xml:space="preserve"> </w:t>
      </w:r>
      <w:r>
        <w:rPr>
          <w:rFonts w:ascii="Calibri" w:eastAsia="Calibri" w:hAnsi="Calibri" w:cs="Calibri"/>
          <w:color w:val="000000"/>
          <w:sz w:val="22"/>
        </w:rPr>
        <w:t xml:space="preserve">processes, </w:t>
      </w:r>
      <w:r w:rsidRPr="00697DD1">
        <w:rPr>
          <w:rFonts w:ascii="Calibri" w:eastAsia="Calibri" w:hAnsi="Calibri" w:cs="Calibri"/>
          <w:b/>
          <w:color w:val="000000"/>
          <w:sz w:val="22"/>
        </w:rPr>
        <w:t>wrapping</w:t>
      </w:r>
      <w:r>
        <w:rPr>
          <w:rFonts w:ascii="Calibri" w:eastAsia="Calibri" w:hAnsi="Calibri" w:cs="Calibri"/>
          <w:color w:val="000000"/>
          <w:sz w:val="22"/>
        </w:rPr>
        <w:t xml:space="preserve"> products with analytic features and experiences</w:t>
      </w:r>
      <w:r w:rsidR="00697DD1">
        <w:rPr>
          <w:rFonts w:ascii="Calibri" w:eastAsia="Calibri" w:hAnsi="Calibri" w:cs="Calibri"/>
          <w:color w:val="000000"/>
          <w:sz w:val="22"/>
        </w:rPr>
        <w:t>,</w:t>
      </w:r>
      <w:r>
        <w:rPr>
          <w:rFonts w:ascii="Calibri" w:eastAsia="Calibri" w:hAnsi="Calibri" w:cs="Calibri"/>
          <w:color w:val="000000"/>
          <w:sz w:val="22"/>
        </w:rPr>
        <w:t xml:space="preserve"> and </w:t>
      </w:r>
      <w:r w:rsidRPr="00697DD1">
        <w:rPr>
          <w:rFonts w:ascii="Calibri" w:eastAsia="Calibri" w:hAnsi="Calibri" w:cs="Calibri"/>
          <w:b/>
          <w:color w:val="000000"/>
          <w:sz w:val="22"/>
        </w:rPr>
        <w:t>sel</w:t>
      </w:r>
      <w:r w:rsidRPr="00697DD1">
        <w:rPr>
          <w:rFonts w:ascii="Calibri" w:eastAsia="Calibri" w:hAnsi="Calibri" w:cs="Calibri"/>
          <w:b/>
          <w:color w:val="000000"/>
          <w:sz w:val="22"/>
        </w:rPr>
        <w:t>ling</w:t>
      </w:r>
      <w:r>
        <w:rPr>
          <w:rFonts w:ascii="Calibri" w:eastAsia="Calibri" w:hAnsi="Calibri" w:cs="Calibri"/>
          <w:color w:val="000000"/>
          <w:sz w:val="22"/>
        </w:rPr>
        <w:t xml:space="preserve"> innovative information solutions. MIT CISR research has found that data liquidity, the ease of data asset reuse and recombination</w:t>
      </w:r>
      <w:r w:rsidR="00697DD1">
        <w:rPr>
          <w:rFonts w:ascii="Calibri" w:eastAsia="Calibri" w:hAnsi="Calibri" w:cs="Calibri"/>
          <w:color w:val="000000"/>
          <w:sz w:val="22"/>
        </w:rPr>
        <w:t>,</w:t>
      </w:r>
      <w:r>
        <w:rPr>
          <w:rFonts w:ascii="Calibri" w:eastAsia="Calibri" w:hAnsi="Calibri" w:cs="Calibri"/>
          <w:color w:val="000000"/>
          <w:sz w:val="22"/>
        </w:rPr>
        <w:t xml:space="preserve"> accelerates the pursuit of new data monetization opportunities. </w:t>
      </w:r>
    </w:p>
    <w:p w:rsidR="00697DD1" w:rsidRDefault="00033A19" w:rsidP="00697DD1">
      <w:pPr>
        <w:spacing w:before="240" w:beforeAutospacing="1"/>
        <w:ind w:left="2160"/>
        <w:rPr>
          <w:rFonts w:ascii="Calibri" w:eastAsia="Calibri" w:hAnsi="Calibri" w:cs="Calibri"/>
          <w:color w:val="000000"/>
          <w:sz w:val="22"/>
        </w:rPr>
      </w:pPr>
      <w:r>
        <w:rPr>
          <w:rFonts w:ascii="Calibri" w:eastAsia="Calibri" w:hAnsi="Calibri" w:cs="Calibri"/>
          <w:color w:val="000000"/>
          <w:sz w:val="22"/>
        </w:rPr>
        <w:t>Data liquidity varies along a continuum. One data asset m</w:t>
      </w:r>
      <w:r>
        <w:rPr>
          <w:rFonts w:ascii="Calibri" w:eastAsia="Calibri" w:hAnsi="Calibri" w:cs="Calibri"/>
          <w:color w:val="000000"/>
          <w:sz w:val="22"/>
        </w:rPr>
        <w:t>ight be more or less liquid than another</w:t>
      </w:r>
      <w:r w:rsidR="00697DD1">
        <w:rPr>
          <w:rFonts w:ascii="Calibri" w:eastAsia="Calibri" w:hAnsi="Calibri" w:cs="Calibri"/>
          <w:color w:val="000000"/>
          <w:sz w:val="22"/>
        </w:rPr>
        <w:t>,</w:t>
      </w:r>
      <w:r>
        <w:rPr>
          <w:rFonts w:ascii="Calibri" w:eastAsia="Calibri" w:hAnsi="Calibri" w:cs="Calibri"/>
          <w:color w:val="000000"/>
          <w:sz w:val="22"/>
        </w:rPr>
        <w:t xml:space="preserve"> with highly liquid data being more prepared for planned and unplanned new value creation </w:t>
      </w:r>
      <w:r w:rsidRPr="00697DD1">
        <w:rPr>
          <w:rFonts w:ascii="Calibri" w:eastAsia="Calibri" w:hAnsi="Calibri" w:cs="Calibri"/>
          <w:color w:val="000000"/>
          <w:sz w:val="22"/>
        </w:rPr>
        <w:t>opportunities.</w:t>
      </w:r>
      <w:r w:rsidR="00697DD1" w:rsidRPr="00697DD1">
        <w:rPr>
          <w:rFonts w:ascii="Calibri" w:eastAsia="Calibri" w:hAnsi="Calibri" w:cs="Calibri"/>
          <w:color w:val="000000"/>
          <w:sz w:val="22"/>
        </w:rPr>
        <w:t xml:space="preserve"> </w:t>
      </w:r>
      <w:r w:rsidRPr="00697DD1">
        <w:rPr>
          <w:rFonts w:ascii="Calibri" w:eastAsia="Calibri" w:hAnsi="Calibri" w:cs="Calibri"/>
          <w:color w:val="000000"/>
          <w:sz w:val="22"/>
        </w:rPr>
        <w:t xml:space="preserve">Google Maps is a familiar service based on </w:t>
      </w:r>
      <w:r w:rsidRPr="00697DD1">
        <w:rPr>
          <w:rFonts w:ascii="Calibri" w:eastAsia="Calibri" w:hAnsi="Calibri" w:cs="Calibri"/>
          <w:color w:val="000000"/>
          <w:sz w:val="22"/>
        </w:rPr>
        <w:t>a highly liquid data asset. The data asset represents map information that can be reused and re</w:t>
      </w:r>
      <w:r w:rsidRPr="00697DD1">
        <w:rPr>
          <w:rFonts w:ascii="Calibri" w:eastAsia="Calibri" w:hAnsi="Calibri" w:cs="Calibri"/>
          <w:color w:val="000000"/>
          <w:sz w:val="22"/>
        </w:rPr>
        <w:t>combined for innumerable value creation initiatives</w:t>
      </w:r>
      <w:r w:rsidR="00697DD1">
        <w:rPr>
          <w:rFonts w:ascii="Calibri" w:eastAsia="Calibri" w:hAnsi="Calibri" w:cs="Calibri"/>
          <w:color w:val="000000"/>
          <w:sz w:val="22"/>
        </w:rPr>
        <w:t>, f</w:t>
      </w:r>
      <w:r w:rsidRPr="00697DD1">
        <w:rPr>
          <w:rFonts w:ascii="Calibri" w:eastAsia="Calibri" w:hAnsi="Calibri" w:cs="Calibri"/>
          <w:color w:val="000000"/>
          <w:sz w:val="22"/>
        </w:rPr>
        <w:t>or example, root optimization</w:t>
      </w:r>
      <w:r w:rsidR="00697DD1">
        <w:rPr>
          <w:rFonts w:ascii="Calibri" w:eastAsia="Calibri" w:hAnsi="Calibri" w:cs="Calibri"/>
          <w:color w:val="000000"/>
          <w:sz w:val="22"/>
        </w:rPr>
        <w:t>)</w:t>
      </w:r>
      <w:r w:rsidRPr="00697DD1">
        <w:rPr>
          <w:rFonts w:ascii="Calibri" w:eastAsia="Calibri" w:hAnsi="Calibri" w:cs="Calibri"/>
          <w:color w:val="000000"/>
          <w:sz w:val="22"/>
        </w:rPr>
        <w:t xml:space="preserve"> by numerous firms</w:t>
      </w:r>
      <w:r w:rsidR="00697DD1">
        <w:rPr>
          <w:rFonts w:ascii="Calibri" w:eastAsia="Calibri" w:hAnsi="Calibri" w:cs="Calibri"/>
          <w:color w:val="000000"/>
          <w:sz w:val="22"/>
        </w:rPr>
        <w:t xml:space="preserve"> (</w:t>
      </w:r>
      <w:r w:rsidRPr="00697DD1">
        <w:rPr>
          <w:rFonts w:ascii="Calibri" w:eastAsia="Calibri" w:hAnsi="Calibri" w:cs="Calibri"/>
          <w:color w:val="000000"/>
          <w:sz w:val="22"/>
        </w:rPr>
        <w:t>such as rideshare company Uber</w:t>
      </w:r>
      <w:r w:rsidR="00697DD1">
        <w:rPr>
          <w:rFonts w:ascii="Calibri" w:eastAsia="Calibri" w:hAnsi="Calibri" w:cs="Calibri"/>
          <w:color w:val="000000"/>
          <w:sz w:val="22"/>
        </w:rPr>
        <w:t>).</w:t>
      </w:r>
    </w:p>
    <w:p w:rsidR="00697DD1" w:rsidRDefault="00697DD1" w:rsidP="00697DD1">
      <w:pPr>
        <w:spacing w:before="240" w:beforeAutospacing="1"/>
        <w:ind w:left="2160"/>
        <w:rPr>
          <w:rFonts w:ascii="Calibri" w:eastAsia="Calibri" w:hAnsi="Calibri" w:cs="Calibri"/>
          <w:color w:val="000000"/>
          <w:sz w:val="22"/>
        </w:rPr>
      </w:pPr>
      <w:r>
        <w:rPr>
          <w:rFonts w:ascii="Calibri" w:eastAsia="Calibri" w:hAnsi="Calibri" w:cs="Calibri"/>
          <w:color w:val="000000"/>
          <w:sz w:val="22"/>
        </w:rPr>
        <w:t>Data</w:t>
      </w:r>
      <w:r w:rsidR="00033A19" w:rsidRPr="00697DD1">
        <w:rPr>
          <w:rFonts w:ascii="Calibri" w:eastAsia="Calibri" w:hAnsi="Calibri" w:cs="Calibri"/>
          <w:color w:val="000000"/>
          <w:sz w:val="22"/>
        </w:rPr>
        <w:t xml:space="preserve"> often is </w:t>
      </w:r>
      <w:r>
        <w:rPr>
          <w:rFonts w:ascii="Calibri" w:eastAsia="Calibri" w:hAnsi="Calibri" w:cs="Calibri"/>
          <w:color w:val="000000"/>
          <w:sz w:val="22"/>
        </w:rPr>
        <w:t>il</w:t>
      </w:r>
      <w:r w:rsidR="00033A19" w:rsidRPr="00697DD1">
        <w:rPr>
          <w:rFonts w:ascii="Calibri" w:eastAsia="Calibri" w:hAnsi="Calibri" w:cs="Calibri"/>
          <w:color w:val="000000"/>
          <w:sz w:val="22"/>
        </w:rPr>
        <w:t>liquid beca</w:t>
      </w:r>
      <w:r w:rsidR="00033A19" w:rsidRPr="00697DD1">
        <w:rPr>
          <w:rFonts w:ascii="Calibri" w:eastAsia="Calibri" w:hAnsi="Calibri" w:cs="Calibri"/>
          <w:color w:val="000000"/>
          <w:sz w:val="22"/>
        </w:rPr>
        <w:t>use it is trapped in local business processes, closed platforms</w:t>
      </w:r>
      <w:r>
        <w:rPr>
          <w:rFonts w:ascii="Calibri" w:eastAsia="Calibri" w:hAnsi="Calibri" w:cs="Calibri"/>
          <w:color w:val="000000"/>
          <w:sz w:val="22"/>
        </w:rPr>
        <w:t>,</w:t>
      </w:r>
      <w:r w:rsidR="00033A19" w:rsidRPr="00697DD1">
        <w:rPr>
          <w:rFonts w:ascii="Calibri" w:eastAsia="Calibri" w:hAnsi="Calibri" w:cs="Calibri"/>
          <w:color w:val="000000"/>
          <w:sz w:val="22"/>
        </w:rPr>
        <w:t xml:space="preserve"> or obsolete data structures</w:t>
      </w:r>
      <w:r>
        <w:rPr>
          <w:rFonts w:ascii="Calibri" w:eastAsia="Calibri" w:hAnsi="Calibri" w:cs="Calibri"/>
          <w:color w:val="000000"/>
          <w:sz w:val="22"/>
        </w:rPr>
        <w:t>; i</w:t>
      </w:r>
      <w:r w:rsidR="00033A19" w:rsidRPr="00697DD1">
        <w:rPr>
          <w:rFonts w:ascii="Calibri" w:eastAsia="Calibri" w:hAnsi="Calibri" w:cs="Calibri"/>
          <w:color w:val="000000"/>
          <w:sz w:val="22"/>
        </w:rPr>
        <w:t>t requires movement, consolidation</w:t>
      </w:r>
      <w:r>
        <w:rPr>
          <w:rFonts w:ascii="Calibri" w:eastAsia="Calibri" w:hAnsi="Calibri" w:cs="Calibri"/>
          <w:color w:val="000000"/>
          <w:sz w:val="22"/>
        </w:rPr>
        <w:t>,</w:t>
      </w:r>
      <w:r w:rsidR="00033A19" w:rsidRPr="00697DD1">
        <w:rPr>
          <w:rFonts w:ascii="Calibri" w:eastAsia="Calibri" w:hAnsi="Calibri" w:cs="Calibri"/>
          <w:color w:val="000000"/>
          <w:sz w:val="22"/>
        </w:rPr>
        <w:t xml:space="preserve"> or translation</w:t>
      </w:r>
      <w:r>
        <w:rPr>
          <w:rFonts w:ascii="Calibri" w:eastAsia="Calibri" w:hAnsi="Calibri" w:cs="Calibri"/>
          <w:color w:val="000000"/>
          <w:sz w:val="22"/>
        </w:rPr>
        <w:t>;</w:t>
      </w:r>
      <w:r w:rsidR="00033A19" w:rsidRPr="00697DD1">
        <w:rPr>
          <w:rFonts w:ascii="Calibri" w:eastAsia="Calibri" w:hAnsi="Calibri" w:cs="Calibri"/>
          <w:color w:val="000000"/>
          <w:sz w:val="22"/>
        </w:rPr>
        <w:t xml:space="preserve"> or it is constrained by regulation, organizational boundaries, or technical limitations. Incumbent banks, healt</w:t>
      </w:r>
      <w:r w:rsidR="00033A19" w:rsidRPr="00697DD1">
        <w:rPr>
          <w:rFonts w:ascii="Calibri" w:eastAsia="Calibri" w:hAnsi="Calibri" w:cs="Calibri"/>
          <w:color w:val="000000"/>
          <w:sz w:val="22"/>
        </w:rPr>
        <w:t>hcare organizations, and companies with long</w:t>
      </w:r>
      <w:r>
        <w:rPr>
          <w:rFonts w:ascii="Calibri" w:eastAsia="Calibri" w:hAnsi="Calibri" w:cs="Calibri"/>
          <w:color w:val="000000"/>
          <w:sz w:val="22"/>
        </w:rPr>
        <w:t>-</w:t>
      </w:r>
      <w:r w:rsidR="00033A19" w:rsidRPr="00697DD1">
        <w:rPr>
          <w:rFonts w:ascii="Calibri" w:eastAsia="Calibri" w:hAnsi="Calibri" w:cs="Calibri"/>
          <w:color w:val="000000"/>
          <w:sz w:val="22"/>
        </w:rPr>
        <w:t xml:space="preserve">established business models are often </w:t>
      </w:r>
      <w:r>
        <w:rPr>
          <w:rFonts w:ascii="Calibri" w:eastAsia="Calibri" w:hAnsi="Calibri" w:cs="Calibri"/>
          <w:color w:val="000000"/>
          <w:sz w:val="22"/>
        </w:rPr>
        <w:t>mired</w:t>
      </w:r>
      <w:r w:rsidR="00033A19" w:rsidRPr="00697DD1">
        <w:rPr>
          <w:rFonts w:ascii="Calibri" w:eastAsia="Calibri" w:hAnsi="Calibri" w:cs="Calibri"/>
          <w:color w:val="000000"/>
          <w:sz w:val="22"/>
        </w:rPr>
        <w:t xml:space="preserve"> in </w:t>
      </w:r>
      <w:r>
        <w:rPr>
          <w:rFonts w:ascii="Calibri" w:eastAsia="Calibri" w:hAnsi="Calibri" w:cs="Calibri"/>
          <w:color w:val="000000"/>
          <w:sz w:val="22"/>
        </w:rPr>
        <w:t>il</w:t>
      </w:r>
      <w:r w:rsidR="00033A19" w:rsidRPr="00697DD1">
        <w:rPr>
          <w:rFonts w:ascii="Calibri" w:eastAsia="Calibri" w:hAnsi="Calibri" w:cs="Calibri"/>
          <w:color w:val="000000"/>
          <w:sz w:val="22"/>
        </w:rPr>
        <w:t xml:space="preserve">liquid data assets. </w:t>
      </w:r>
    </w:p>
    <w:p w:rsidR="00697DD1" w:rsidRDefault="00033A19" w:rsidP="00697DD1">
      <w:pPr>
        <w:spacing w:before="240" w:beforeAutospacing="1"/>
        <w:ind w:left="2160"/>
        <w:rPr>
          <w:rFonts w:ascii="Calibri" w:eastAsia="Calibri" w:hAnsi="Calibri" w:cs="Calibri"/>
          <w:color w:val="000000"/>
          <w:sz w:val="22"/>
        </w:rPr>
      </w:pPr>
      <w:r w:rsidRPr="00697DD1">
        <w:rPr>
          <w:rFonts w:ascii="Calibri" w:eastAsia="Calibri" w:hAnsi="Calibri" w:cs="Calibri"/>
          <w:color w:val="000000"/>
          <w:sz w:val="22"/>
        </w:rPr>
        <w:t>Increasing the liquidity of a data asset can be a costly</w:t>
      </w:r>
      <w:r w:rsidR="00697DD1">
        <w:rPr>
          <w:rFonts w:ascii="Calibri" w:eastAsia="Calibri" w:hAnsi="Calibri" w:cs="Calibri"/>
          <w:color w:val="000000"/>
          <w:sz w:val="22"/>
        </w:rPr>
        <w:t>,</w:t>
      </w:r>
      <w:r w:rsidRPr="00697DD1">
        <w:rPr>
          <w:rFonts w:ascii="Calibri" w:eastAsia="Calibri" w:hAnsi="Calibri" w:cs="Calibri"/>
          <w:color w:val="000000"/>
          <w:sz w:val="22"/>
        </w:rPr>
        <w:t xml:space="preserve"> </w:t>
      </w:r>
      <w:r w:rsidR="00697DD1" w:rsidRPr="00697DD1">
        <w:rPr>
          <w:rFonts w:ascii="Calibri" w:eastAsia="Calibri" w:hAnsi="Calibri" w:cs="Calibri"/>
          <w:color w:val="000000"/>
          <w:sz w:val="22"/>
        </w:rPr>
        <w:t>labor-intensive</w:t>
      </w:r>
      <w:r w:rsidRPr="00697DD1">
        <w:rPr>
          <w:rFonts w:ascii="Calibri" w:eastAsia="Calibri" w:hAnsi="Calibri" w:cs="Calibri"/>
          <w:color w:val="000000"/>
          <w:sz w:val="22"/>
        </w:rPr>
        <w:t xml:space="preserve"> endeavor</w:t>
      </w:r>
      <w:r w:rsidR="00697DD1">
        <w:rPr>
          <w:rFonts w:ascii="Calibri" w:eastAsia="Calibri" w:hAnsi="Calibri" w:cs="Calibri"/>
          <w:color w:val="000000"/>
          <w:sz w:val="22"/>
        </w:rPr>
        <w:t>. Y</w:t>
      </w:r>
      <w:r w:rsidRPr="00697DD1">
        <w:rPr>
          <w:rFonts w:ascii="Calibri" w:eastAsia="Calibri" w:hAnsi="Calibri" w:cs="Calibri"/>
          <w:color w:val="000000"/>
          <w:sz w:val="22"/>
        </w:rPr>
        <w:t>et having liquid data is critical for organizations that h</w:t>
      </w:r>
      <w:r w:rsidRPr="00697DD1">
        <w:rPr>
          <w:rFonts w:ascii="Calibri" w:eastAsia="Calibri" w:hAnsi="Calibri" w:cs="Calibri"/>
          <w:color w:val="000000"/>
          <w:sz w:val="22"/>
        </w:rPr>
        <w:t>ope to respond quickly to novel value creation opportunities. In our May</w:t>
      </w:r>
      <w:r w:rsidRPr="00697DD1">
        <w:rPr>
          <w:rFonts w:ascii="Calibri" w:eastAsia="Calibri" w:hAnsi="Calibri" w:cs="Calibri"/>
          <w:color w:val="000000"/>
          <w:sz w:val="22"/>
        </w:rPr>
        <w:t xml:space="preserve"> 2021 research briefing, we explain that companies can increase data liquidity by investing in </w:t>
      </w:r>
      <w:r w:rsidR="00697DD1" w:rsidRPr="00697DD1">
        <w:rPr>
          <w:rFonts w:ascii="Calibri" w:eastAsia="Calibri" w:hAnsi="Calibri" w:cs="Calibri"/>
          <w:color w:val="000000"/>
          <w:sz w:val="22"/>
        </w:rPr>
        <w:t xml:space="preserve">the </w:t>
      </w:r>
      <w:r w:rsidRPr="00697DD1">
        <w:rPr>
          <w:rFonts w:ascii="Calibri" w:eastAsia="Calibri" w:hAnsi="Calibri" w:cs="Calibri"/>
          <w:color w:val="000000"/>
          <w:sz w:val="22"/>
        </w:rPr>
        <w:t>compan</w:t>
      </w:r>
      <w:r w:rsidR="00697DD1" w:rsidRPr="00697DD1">
        <w:rPr>
          <w:rFonts w:ascii="Calibri" w:eastAsia="Calibri" w:hAnsi="Calibri" w:cs="Calibri"/>
          <w:color w:val="000000"/>
          <w:sz w:val="22"/>
        </w:rPr>
        <w:t>y’s</w:t>
      </w:r>
      <w:r w:rsidRPr="00697DD1">
        <w:rPr>
          <w:rFonts w:ascii="Calibri" w:eastAsia="Calibri" w:hAnsi="Calibri" w:cs="Calibri"/>
          <w:color w:val="000000"/>
          <w:sz w:val="22"/>
        </w:rPr>
        <w:t xml:space="preserve"> data monetization capabilities.</w:t>
      </w:r>
      <w:r w:rsidR="00697DD1" w:rsidRPr="00697DD1">
        <w:rPr>
          <w:rFonts w:ascii="Calibri" w:eastAsia="Calibri" w:hAnsi="Calibri" w:cs="Calibri"/>
          <w:color w:val="000000"/>
          <w:sz w:val="22"/>
        </w:rPr>
        <w:t xml:space="preserve"> </w:t>
      </w:r>
      <w:r w:rsidRPr="00697DD1">
        <w:rPr>
          <w:rFonts w:ascii="Calibri" w:eastAsia="Calibri" w:hAnsi="Calibri" w:cs="Calibri"/>
          <w:color w:val="000000"/>
          <w:sz w:val="22"/>
        </w:rPr>
        <w:t xml:space="preserve">My </w:t>
      </w:r>
      <w:r w:rsidR="00697DD1">
        <w:rPr>
          <w:rFonts w:ascii="Calibri" w:eastAsia="Calibri" w:hAnsi="Calibri" w:cs="Calibri"/>
          <w:color w:val="000000"/>
          <w:sz w:val="22"/>
        </w:rPr>
        <w:t xml:space="preserve">and Gabe </w:t>
      </w:r>
      <w:proofErr w:type="spellStart"/>
      <w:r w:rsidR="00697DD1">
        <w:rPr>
          <w:rFonts w:ascii="Calibri" w:eastAsia="Calibri" w:hAnsi="Calibri" w:cs="Calibri"/>
          <w:color w:val="000000"/>
          <w:sz w:val="22"/>
        </w:rPr>
        <w:t>Piccoli’s</w:t>
      </w:r>
      <w:proofErr w:type="spellEnd"/>
      <w:r w:rsidRPr="00697DD1">
        <w:rPr>
          <w:rFonts w:ascii="Calibri" w:eastAsia="Calibri" w:hAnsi="Calibri" w:cs="Calibri"/>
          <w:color w:val="000000"/>
          <w:sz w:val="22"/>
        </w:rPr>
        <w:t xml:space="preserve"> theoretical work identif</w:t>
      </w:r>
      <w:r w:rsidR="00697DD1">
        <w:rPr>
          <w:rFonts w:ascii="Calibri" w:eastAsia="Calibri" w:hAnsi="Calibri" w:cs="Calibri"/>
          <w:color w:val="000000"/>
          <w:sz w:val="22"/>
        </w:rPr>
        <w:t>ied</w:t>
      </w:r>
      <w:r w:rsidRPr="00697DD1">
        <w:rPr>
          <w:rFonts w:ascii="Calibri" w:eastAsia="Calibri" w:hAnsi="Calibri" w:cs="Calibri"/>
          <w:color w:val="000000"/>
          <w:sz w:val="22"/>
        </w:rPr>
        <w:t xml:space="preserve"> a second approach</w:t>
      </w:r>
      <w:r w:rsidR="00697DD1">
        <w:rPr>
          <w:rFonts w:ascii="Calibri" w:eastAsia="Calibri" w:hAnsi="Calibri" w:cs="Calibri"/>
          <w:color w:val="000000"/>
          <w:sz w:val="22"/>
        </w:rPr>
        <w:t>:</w:t>
      </w:r>
      <w:r w:rsidRPr="00697DD1">
        <w:rPr>
          <w:rFonts w:ascii="Calibri" w:eastAsia="Calibri" w:hAnsi="Calibri" w:cs="Calibri"/>
          <w:color w:val="000000"/>
          <w:sz w:val="22"/>
        </w:rPr>
        <w:t xml:space="preserve"> building </w:t>
      </w:r>
      <w:r w:rsidRPr="00697DD1">
        <w:rPr>
          <w:rFonts w:ascii="Calibri" w:eastAsia="Calibri" w:hAnsi="Calibri" w:cs="Calibri"/>
          <w:b/>
          <w:color w:val="000000"/>
          <w:sz w:val="22"/>
        </w:rPr>
        <w:t>digital data assets</w:t>
      </w:r>
      <w:r w:rsidRPr="00697DD1">
        <w:rPr>
          <w:rFonts w:ascii="Calibri" w:eastAsia="Calibri" w:hAnsi="Calibri" w:cs="Calibri"/>
          <w:color w:val="000000"/>
          <w:sz w:val="22"/>
        </w:rPr>
        <w:t xml:space="preserve">, or DDAs. </w:t>
      </w:r>
    </w:p>
    <w:p w:rsidR="00697DD1" w:rsidRPr="00697DD1" w:rsidRDefault="00033A19" w:rsidP="00697DD1">
      <w:pPr>
        <w:spacing w:before="240" w:beforeAutospacing="1"/>
        <w:ind w:left="2160"/>
        <w:rPr>
          <w:rFonts w:ascii="Calibri" w:eastAsia="Calibri" w:hAnsi="Calibri" w:cs="Calibri"/>
          <w:b/>
          <w:color w:val="000000"/>
          <w:sz w:val="22"/>
        </w:rPr>
      </w:pPr>
      <w:r w:rsidRPr="00697DD1">
        <w:rPr>
          <w:rFonts w:ascii="Calibri" w:eastAsia="Calibri" w:hAnsi="Calibri" w:cs="Calibri"/>
          <w:b/>
          <w:color w:val="000000"/>
          <w:sz w:val="22"/>
        </w:rPr>
        <w:t>The structure of digital data assets</w:t>
      </w:r>
    </w:p>
    <w:p w:rsidR="00697DD1" w:rsidRDefault="00033A19" w:rsidP="00697DD1">
      <w:pPr>
        <w:spacing w:before="240" w:beforeAutospacing="1"/>
        <w:ind w:left="2160"/>
        <w:rPr>
          <w:rFonts w:ascii="Calibri" w:eastAsia="Calibri" w:hAnsi="Calibri" w:cs="Calibri"/>
          <w:color w:val="000000"/>
          <w:sz w:val="22"/>
        </w:rPr>
      </w:pPr>
      <w:r w:rsidRPr="00697DD1">
        <w:rPr>
          <w:rFonts w:ascii="Calibri" w:eastAsia="Calibri" w:hAnsi="Calibri" w:cs="Calibri"/>
          <w:color w:val="000000"/>
          <w:sz w:val="22"/>
        </w:rPr>
        <w:t xml:space="preserve">A DDA is a digital resource structured to eliminate friction in asset level reuse and recombination. </w:t>
      </w:r>
      <w:r w:rsidRPr="00697DD1">
        <w:rPr>
          <w:rFonts w:ascii="Calibri" w:eastAsia="Calibri" w:hAnsi="Calibri" w:cs="Calibri"/>
          <w:color w:val="000000"/>
          <w:sz w:val="22"/>
        </w:rPr>
        <w:t>DDAs result from the purposeful design and deployment of data assets with three structural elements</w:t>
      </w:r>
      <w:r w:rsidR="00697DD1">
        <w:rPr>
          <w:rFonts w:ascii="Calibri" w:eastAsia="Calibri" w:hAnsi="Calibri" w:cs="Calibri"/>
          <w:color w:val="000000"/>
          <w:sz w:val="22"/>
        </w:rPr>
        <w:t>:</w:t>
      </w:r>
      <w:r w:rsidRPr="00697DD1">
        <w:rPr>
          <w:rFonts w:ascii="Calibri" w:eastAsia="Calibri" w:hAnsi="Calibri" w:cs="Calibri"/>
          <w:color w:val="000000"/>
          <w:sz w:val="22"/>
        </w:rPr>
        <w:t xml:space="preserve"> </w:t>
      </w:r>
      <w:r w:rsidRPr="00697DD1">
        <w:rPr>
          <w:rFonts w:ascii="Calibri" w:eastAsia="Calibri" w:hAnsi="Calibri" w:cs="Calibri"/>
          <w:i/>
          <w:color w:val="000000"/>
          <w:sz w:val="22"/>
        </w:rPr>
        <w:t>value</w:t>
      </w:r>
      <w:r w:rsidRPr="00697DD1">
        <w:rPr>
          <w:rFonts w:ascii="Calibri" w:eastAsia="Calibri" w:hAnsi="Calibri" w:cs="Calibri"/>
          <w:color w:val="000000"/>
          <w:sz w:val="22"/>
        </w:rPr>
        <w:t xml:space="preserve">, </w:t>
      </w:r>
      <w:r w:rsidRPr="00697DD1">
        <w:rPr>
          <w:rFonts w:ascii="Calibri" w:eastAsia="Calibri" w:hAnsi="Calibri" w:cs="Calibri"/>
          <w:i/>
          <w:color w:val="000000"/>
          <w:sz w:val="22"/>
        </w:rPr>
        <w:t>modularity</w:t>
      </w:r>
      <w:r w:rsidRPr="00697DD1">
        <w:rPr>
          <w:rFonts w:ascii="Calibri" w:eastAsia="Calibri" w:hAnsi="Calibri" w:cs="Calibri"/>
          <w:color w:val="000000"/>
          <w:sz w:val="22"/>
        </w:rPr>
        <w:t xml:space="preserve">, and a </w:t>
      </w:r>
      <w:r w:rsidRPr="00697DD1">
        <w:rPr>
          <w:rFonts w:ascii="Calibri" w:eastAsia="Calibri" w:hAnsi="Calibri" w:cs="Calibri"/>
          <w:i/>
          <w:color w:val="000000"/>
          <w:sz w:val="22"/>
        </w:rPr>
        <w:t>programmatic interface</w:t>
      </w:r>
      <w:r w:rsidRPr="00697DD1">
        <w:rPr>
          <w:rFonts w:ascii="Calibri" w:eastAsia="Calibri" w:hAnsi="Calibri" w:cs="Calibri"/>
          <w:color w:val="000000"/>
          <w:sz w:val="22"/>
        </w:rPr>
        <w:t xml:space="preserve">. </w:t>
      </w:r>
      <w:r w:rsidR="00697DD1" w:rsidRPr="00697DD1">
        <w:rPr>
          <w:rFonts w:ascii="Calibri" w:eastAsia="Calibri" w:hAnsi="Calibri" w:cs="Calibri"/>
          <w:color w:val="000000"/>
          <w:sz w:val="22"/>
        </w:rPr>
        <w:t>These attributes</w:t>
      </w:r>
      <w:r w:rsidRPr="00697DD1">
        <w:rPr>
          <w:rFonts w:ascii="Calibri" w:eastAsia="Calibri" w:hAnsi="Calibri" w:cs="Calibri"/>
          <w:color w:val="000000"/>
          <w:sz w:val="22"/>
        </w:rPr>
        <w:t xml:space="preserve"> produce extremely high liquidity and offer companies an unprecedented degree of reuse and </w:t>
      </w:r>
      <w:r w:rsidRPr="00697DD1">
        <w:rPr>
          <w:rFonts w:ascii="Calibri" w:eastAsia="Calibri" w:hAnsi="Calibri" w:cs="Calibri"/>
          <w:color w:val="000000"/>
          <w:sz w:val="22"/>
        </w:rPr>
        <w:t>recombination potential</w:t>
      </w:r>
      <w:r w:rsidR="00697DD1">
        <w:rPr>
          <w:rFonts w:ascii="Calibri" w:eastAsia="Calibri" w:hAnsi="Calibri" w:cs="Calibri"/>
          <w:color w:val="000000"/>
          <w:sz w:val="22"/>
        </w:rPr>
        <w:t>.</w:t>
      </w:r>
    </w:p>
    <w:p w:rsidR="00A77B3E" w:rsidRPr="00697DD1" w:rsidRDefault="00697DD1" w:rsidP="00697DD1">
      <w:pPr>
        <w:spacing w:before="240" w:beforeAutospacing="1"/>
        <w:ind w:left="2160"/>
        <w:rPr>
          <w:rFonts w:ascii="Calibri" w:eastAsia="Calibri" w:hAnsi="Calibri" w:cs="Calibri"/>
          <w:color w:val="000000"/>
          <w:sz w:val="22"/>
        </w:rPr>
      </w:pPr>
      <w:r w:rsidRPr="00697DD1">
        <w:rPr>
          <w:rFonts w:ascii="Calibri" w:eastAsia="Calibri" w:hAnsi="Calibri" w:cs="Calibri"/>
          <w:b/>
          <w:color w:val="000000"/>
          <w:sz w:val="22"/>
        </w:rPr>
        <w:lastRenderedPageBreak/>
        <w:t>V</w:t>
      </w:r>
      <w:r w:rsidR="00033A19" w:rsidRPr="00697DD1">
        <w:rPr>
          <w:rFonts w:ascii="Calibri" w:eastAsia="Calibri" w:hAnsi="Calibri" w:cs="Calibri"/>
          <w:b/>
          <w:color w:val="000000"/>
          <w:sz w:val="22"/>
        </w:rPr>
        <w:t>alue</w:t>
      </w:r>
      <w:r w:rsidRPr="00697DD1">
        <w:rPr>
          <w:rFonts w:ascii="Calibri" w:eastAsia="Calibri" w:hAnsi="Calibri" w:cs="Calibri"/>
          <w:b/>
          <w:color w:val="000000"/>
          <w:sz w:val="22"/>
        </w:rPr>
        <w:t>:</w:t>
      </w:r>
      <w:r w:rsidR="00033A19" w:rsidRPr="00697DD1">
        <w:rPr>
          <w:rFonts w:ascii="Calibri" w:eastAsia="Calibri" w:hAnsi="Calibri" w:cs="Calibri"/>
          <w:color w:val="000000"/>
          <w:sz w:val="22"/>
        </w:rPr>
        <w:t xml:space="preserve"> DDAs </w:t>
      </w:r>
      <w:r>
        <w:rPr>
          <w:rFonts w:ascii="Calibri" w:eastAsia="Calibri" w:hAnsi="Calibri" w:cs="Calibri"/>
          <w:color w:val="000000"/>
          <w:sz w:val="22"/>
        </w:rPr>
        <w:t>possess</w:t>
      </w:r>
      <w:r w:rsidR="00033A19" w:rsidRPr="00697DD1">
        <w:rPr>
          <w:rFonts w:ascii="Calibri" w:eastAsia="Calibri" w:hAnsi="Calibri" w:cs="Calibri"/>
          <w:color w:val="000000"/>
          <w:sz w:val="22"/>
        </w:rPr>
        <w:t xml:space="preserve"> significant value creation potential when they</w:t>
      </w:r>
      <w:r>
        <w:rPr>
          <w:rFonts w:ascii="Calibri" w:eastAsia="Calibri" w:hAnsi="Calibri" w:cs="Calibri"/>
          <w:color w:val="000000"/>
          <w:sz w:val="22"/>
        </w:rPr>
        <w:t xml:space="preserve"> a</w:t>
      </w:r>
      <w:r w:rsidR="00033A19" w:rsidRPr="00697DD1">
        <w:rPr>
          <w:rFonts w:ascii="Calibri" w:eastAsia="Calibri" w:hAnsi="Calibri" w:cs="Calibri"/>
          <w:color w:val="000000"/>
          <w:sz w:val="22"/>
        </w:rPr>
        <w:t xml:space="preserve">re important for successfully executing data monetization use cases. Google Maps is based on a DDA that exposes map data, which </w:t>
      </w:r>
      <w:r w:rsidRPr="00697DD1">
        <w:rPr>
          <w:rFonts w:ascii="Calibri" w:eastAsia="Calibri" w:hAnsi="Calibri" w:cs="Calibri"/>
          <w:color w:val="000000"/>
          <w:sz w:val="22"/>
        </w:rPr>
        <w:t>thousands</w:t>
      </w:r>
      <w:r w:rsidR="00033A19" w:rsidRPr="00697DD1">
        <w:rPr>
          <w:rFonts w:ascii="Calibri" w:eastAsia="Calibri" w:hAnsi="Calibri" w:cs="Calibri"/>
          <w:color w:val="000000"/>
          <w:sz w:val="22"/>
        </w:rPr>
        <w:t xml:space="preserve"> of companies use</w:t>
      </w:r>
      <w:r w:rsidR="00033A19" w:rsidRPr="00697DD1">
        <w:rPr>
          <w:rFonts w:ascii="Calibri" w:eastAsia="Calibri" w:hAnsi="Calibri" w:cs="Calibri"/>
          <w:color w:val="000000"/>
          <w:sz w:val="22"/>
        </w:rPr>
        <w:t xml:space="preserve"> to carry </w:t>
      </w:r>
      <w:r w:rsidR="00033A19" w:rsidRPr="00697DD1">
        <w:rPr>
          <w:rFonts w:ascii="Calibri" w:eastAsia="Calibri" w:hAnsi="Calibri" w:cs="Calibri"/>
          <w:color w:val="000000"/>
          <w:sz w:val="22"/>
        </w:rPr>
        <w:t>out improving</w:t>
      </w:r>
      <w:r w:rsidR="00AC56BB">
        <w:rPr>
          <w:rFonts w:ascii="Calibri" w:eastAsia="Calibri" w:hAnsi="Calibri" w:cs="Calibri"/>
          <w:color w:val="000000"/>
          <w:sz w:val="22"/>
        </w:rPr>
        <w:t>,</w:t>
      </w:r>
      <w:r w:rsidR="00033A19" w:rsidRPr="00697DD1">
        <w:rPr>
          <w:rFonts w:ascii="Calibri" w:eastAsia="Calibri" w:hAnsi="Calibri" w:cs="Calibri"/>
          <w:color w:val="000000"/>
          <w:sz w:val="22"/>
        </w:rPr>
        <w:t xml:space="preserve"> wrapping</w:t>
      </w:r>
      <w:r w:rsidR="00AC56BB">
        <w:rPr>
          <w:rFonts w:ascii="Calibri" w:eastAsia="Calibri" w:hAnsi="Calibri" w:cs="Calibri"/>
          <w:color w:val="000000"/>
          <w:sz w:val="22"/>
        </w:rPr>
        <w:t>,</w:t>
      </w:r>
      <w:r w:rsidR="00033A19" w:rsidRPr="00697DD1">
        <w:rPr>
          <w:rFonts w:ascii="Calibri" w:eastAsia="Calibri" w:hAnsi="Calibri" w:cs="Calibri"/>
          <w:color w:val="000000"/>
          <w:sz w:val="22"/>
        </w:rPr>
        <w:t xml:space="preserve"> and selling use cases. Google captures some of the value that these companies create by selling ads serve</w:t>
      </w:r>
      <w:r w:rsidR="00AC56BB">
        <w:rPr>
          <w:rFonts w:ascii="Calibri" w:eastAsia="Calibri" w:hAnsi="Calibri" w:cs="Calibri"/>
          <w:color w:val="000000"/>
          <w:sz w:val="22"/>
        </w:rPr>
        <w:t>d</w:t>
      </w:r>
      <w:r w:rsidR="00033A19" w:rsidRPr="00697DD1">
        <w:rPr>
          <w:rFonts w:ascii="Calibri" w:eastAsia="Calibri" w:hAnsi="Calibri" w:cs="Calibri"/>
          <w:color w:val="000000"/>
          <w:sz w:val="22"/>
        </w:rPr>
        <w:t xml:space="preserve"> alongside mapping results or charging a fee each time the DDA is </w:t>
      </w:r>
      <w:r w:rsidR="00AC56BB">
        <w:rPr>
          <w:rFonts w:ascii="Calibri" w:eastAsia="Calibri" w:hAnsi="Calibri" w:cs="Calibri"/>
          <w:color w:val="000000"/>
          <w:sz w:val="22"/>
        </w:rPr>
        <w:t>accessed</w:t>
      </w:r>
      <w:r w:rsidR="00033A19" w:rsidRPr="00697DD1">
        <w:rPr>
          <w:rFonts w:ascii="Calibri" w:eastAsia="Calibri" w:hAnsi="Calibri" w:cs="Calibri"/>
          <w:color w:val="000000"/>
          <w:sz w:val="22"/>
        </w:rPr>
        <w:t>. In 2019 one analyst estimated that Google Maps revenu</w:t>
      </w:r>
      <w:r w:rsidR="00033A19" w:rsidRPr="00697DD1">
        <w:rPr>
          <w:rFonts w:ascii="Calibri" w:eastAsia="Calibri" w:hAnsi="Calibri" w:cs="Calibri"/>
          <w:color w:val="000000"/>
          <w:sz w:val="22"/>
        </w:rPr>
        <w:t xml:space="preserve">e would exceed </w:t>
      </w:r>
      <w:r w:rsidR="00AC56BB">
        <w:rPr>
          <w:rFonts w:ascii="Calibri" w:eastAsia="Calibri" w:hAnsi="Calibri" w:cs="Calibri"/>
          <w:color w:val="000000"/>
          <w:sz w:val="22"/>
        </w:rPr>
        <w:t>$</w:t>
      </w:r>
      <w:r w:rsidR="00033A19" w:rsidRPr="00697DD1">
        <w:rPr>
          <w:rFonts w:ascii="Calibri" w:eastAsia="Calibri" w:hAnsi="Calibri" w:cs="Calibri"/>
          <w:color w:val="000000"/>
          <w:sz w:val="22"/>
        </w:rPr>
        <w:t>11 billion in 2023. Rideshare company</w:t>
      </w:r>
      <w:r w:rsidR="00033A19" w:rsidRPr="00697DD1">
        <w:rPr>
          <w:rFonts w:ascii="Calibri" w:eastAsia="Calibri" w:hAnsi="Calibri" w:cs="Calibri"/>
          <w:color w:val="000000"/>
          <w:sz w:val="22"/>
        </w:rPr>
        <w:t xml:space="preserve"> Uber alone paid Alphabet about $58 million during 2016 to 2018 to enable mapping </w:t>
      </w:r>
      <w:r w:rsidR="00033A19" w:rsidRPr="00697DD1">
        <w:rPr>
          <w:rFonts w:ascii="Calibri" w:eastAsia="Calibri" w:hAnsi="Calibri" w:cs="Calibri"/>
          <w:color w:val="000000"/>
          <w:sz w:val="22"/>
        </w:rPr>
        <w:t>services reliant on the Google Maps DDA in Uber's mobile applications.</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Pr="00AC56BB">
        <w:rPr>
          <w:rFonts w:ascii="Calibri" w:eastAsia="Calibri" w:hAnsi="Calibri" w:cs="Calibri"/>
          <w:b/>
          <w:color w:val="000000"/>
          <w:sz w:val="22"/>
        </w:rPr>
        <w:t>Modularity</w:t>
      </w:r>
      <w:r w:rsidR="00AC56BB" w:rsidRPr="00AC56BB">
        <w:rPr>
          <w:rFonts w:ascii="Calibri" w:eastAsia="Calibri" w:hAnsi="Calibri" w:cs="Calibri"/>
          <w:b/>
          <w:color w:val="000000"/>
          <w:sz w:val="22"/>
        </w:rPr>
        <w:t>:</w:t>
      </w:r>
      <w:r>
        <w:rPr>
          <w:rFonts w:ascii="Calibri" w:eastAsia="Calibri" w:hAnsi="Calibri" w:cs="Calibri"/>
          <w:color w:val="000000"/>
          <w:sz w:val="22"/>
        </w:rPr>
        <w:t xml:space="preserve"> Data asset owners abstract DDAs into modules to enable companies</w:t>
      </w:r>
      <w:r w:rsidR="00AC56BB">
        <w:rPr>
          <w:rFonts w:ascii="Calibri" w:eastAsia="Calibri" w:hAnsi="Calibri" w:cs="Calibri"/>
          <w:color w:val="000000"/>
          <w:sz w:val="22"/>
        </w:rPr>
        <w:t>’</w:t>
      </w:r>
      <w:r>
        <w:rPr>
          <w:rFonts w:ascii="Calibri" w:eastAsia="Calibri" w:hAnsi="Calibri" w:cs="Calibri"/>
          <w:color w:val="000000"/>
          <w:sz w:val="22"/>
        </w:rPr>
        <w:t xml:space="preserve"> reuse and recombination of the data. Use of modular data assets require</w:t>
      </w:r>
      <w:r w:rsidR="00AC56BB">
        <w:rPr>
          <w:rFonts w:ascii="Calibri" w:eastAsia="Calibri" w:hAnsi="Calibri" w:cs="Calibri"/>
          <w:color w:val="000000"/>
          <w:sz w:val="22"/>
        </w:rPr>
        <w:t>s</w:t>
      </w:r>
      <w:r>
        <w:rPr>
          <w:rFonts w:ascii="Calibri" w:eastAsia="Calibri" w:hAnsi="Calibri" w:cs="Calibri"/>
          <w:color w:val="000000"/>
          <w:sz w:val="22"/>
        </w:rPr>
        <w:t xml:space="preserve"> minimal information about the asset</w:t>
      </w:r>
      <w:r w:rsidR="00AC56BB">
        <w:rPr>
          <w:rFonts w:ascii="Calibri" w:eastAsia="Calibri" w:hAnsi="Calibri" w:cs="Calibri"/>
          <w:color w:val="000000"/>
          <w:sz w:val="22"/>
        </w:rPr>
        <w:t>s’</w:t>
      </w:r>
      <w:r>
        <w:rPr>
          <w:rFonts w:ascii="Calibri" w:eastAsia="Calibri" w:hAnsi="Calibri" w:cs="Calibri"/>
          <w:color w:val="000000"/>
          <w:sz w:val="22"/>
        </w:rPr>
        <w:t xml:space="preserve"> inner workings. Any third party can use and reuse </w:t>
      </w:r>
      <w:r>
        <w:rPr>
          <w:rFonts w:ascii="Calibri" w:eastAsia="Calibri" w:hAnsi="Calibri" w:cs="Calibri"/>
          <w:color w:val="000000"/>
          <w:sz w:val="22"/>
        </w:rPr>
        <w:t>the assets without specific knowledge about their native technology, data architecture, or other structural elements. DDA users follow explicit use specifications that the DDA owner provides to draw on the black box asset and thereby create value. In the c</w:t>
      </w:r>
      <w:r>
        <w:rPr>
          <w:rFonts w:ascii="Calibri" w:eastAsia="Calibri" w:hAnsi="Calibri" w:cs="Calibri"/>
          <w:color w:val="000000"/>
          <w:sz w:val="22"/>
        </w:rPr>
        <w:t xml:space="preserve">ase of the Google Maps DDA, companies such as Uber integrate the DDA into their initiatives by following use specifications for the Google Maps API. In 2020, the Google Maps modularity enabled </w:t>
      </w:r>
      <w:r w:rsidR="00AC56BB">
        <w:rPr>
          <w:rFonts w:ascii="Calibri" w:eastAsia="Calibri" w:hAnsi="Calibri" w:cs="Calibri"/>
          <w:color w:val="000000"/>
          <w:sz w:val="22"/>
        </w:rPr>
        <w:t>five</w:t>
      </w:r>
      <w:r>
        <w:rPr>
          <w:rFonts w:ascii="Calibri" w:eastAsia="Calibri" w:hAnsi="Calibri" w:cs="Calibri"/>
          <w:color w:val="000000"/>
          <w:sz w:val="22"/>
        </w:rPr>
        <w:t xml:space="preserve"> billion Uber trips.</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Pr="00AC56BB">
        <w:rPr>
          <w:rFonts w:ascii="Calibri" w:eastAsia="Calibri" w:hAnsi="Calibri" w:cs="Calibri"/>
          <w:b/>
          <w:color w:val="000000"/>
          <w:sz w:val="22"/>
        </w:rPr>
        <w:t>Programmatic interface</w:t>
      </w:r>
      <w:r w:rsidR="00AC56BB" w:rsidRPr="00AC56BB">
        <w:rPr>
          <w:rFonts w:ascii="Calibri" w:eastAsia="Calibri" w:hAnsi="Calibri" w:cs="Calibri"/>
          <w:b/>
          <w:color w:val="000000"/>
          <w:sz w:val="22"/>
        </w:rPr>
        <w:t>:</w:t>
      </w:r>
      <w:r>
        <w:rPr>
          <w:rFonts w:ascii="Calibri" w:eastAsia="Calibri" w:hAnsi="Calibri" w:cs="Calibri"/>
          <w:color w:val="000000"/>
          <w:sz w:val="22"/>
        </w:rPr>
        <w:t xml:space="preserve"> DDAs are encapsulated within an interface that enables code-based data interchange between systems. The interface manages the DDAs</w:t>
      </w:r>
      <w:r w:rsidR="00AC56BB">
        <w:rPr>
          <w:rFonts w:ascii="Calibri" w:eastAsia="Calibri" w:hAnsi="Calibri" w:cs="Calibri"/>
          <w:color w:val="000000"/>
          <w:sz w:val="22"/>
        </w:rPr>
        <w:t>’</w:t>
      </w:r>
      <w:r>
        <w:rPr>
          <w:rFonts w:ascii="Calibri" w:eastAsia="Calibri" w:hAnsi="Calibri" w:cs="Calibri"/>
          <w:color w:val="000000"/>
          <w:sz w:val="22"/>
        </w:rPr>
        <w:t xml:space="preserve"> technical requirements and the governance rules by which the DDA users mus</w:t>
      </w:r>
      <w:r>
        <w:rPr>
          <w:rFonts w:ascii="Calibri" w:eastAsia="Calibri" w:hAnsi="Calibri" w:cs="Calibri"/>
          <w:color w:val="000000"/>
          <w:sz w:val="22"/>
        </w:rPr>
        <w:t>t abide. Interfacing with the DDA is automated</w:t>
      </w:r>
      <w:r w:rsidR="00AC56BB">
        <w:rPr>
          <w:rFonts w:ascii="Calibri" w:eastAsia="Calibri" w:hAnsi="Calibri" w:cs="Calibri"/>
          <w:color w:val="000000"/>
          <w:sz w:val="22"/>
        </w:rPr>
        <w:t>, s</w:t>
      </w:r>
      <w:r>
        <w:rPr>
          <w:rFonts w:ascii="Calibri" w:eastAsia="Calibri" w:hAnsi="Calibri" w:cs="Calibri"/>
          <w:color w:val="000000"/>
          <w:sz w:val="22"/>
        </w:rPr>
        <w:t xml:space="preserve">o the ability of the DDA owner to scale to additional third parties is limited only by the technical context. The interfaces associated with the Google Maps DDA are combined into the </w:t>
      </w:r>
      <w:r w:rsidR="00AC56BB">
        <w:rPr>
          <w:rFonts w:ascii="Calibri" w:eastAsia="Calibri" w:hAnsi="Calibri" w:cs="Calibri"/>
          <w:color w:val="000000"/>
          <w:sz w:val="22"/>
        </w:rPr>
        <w:t>M</w:t>
      </w:r>
      <w:r>
        <w:rPr>
          <w:rFonts w:ascii="Calibri" w:eastAsia="Calibri" w:hAnsi="Calibri" w:cs="Calibri"/>
          <w:color w:val="000000"/>
          <w:sz w:val="22"/>
        </w:rPr>
        <w:t xml:space="preserve">aps </w:t>
      </w:r>
      <w:r w:rsidR="00AC56BB">
        <w:rPr>
          <w:rFonts w:ascii="Calibri" w:eastAsia="Calibri" w:hAnsi="Calibri" w:cs="Calibri"/>
          <w:color w:val="000000"/>
          <w:sz w:val="22"/>
        </w:rPr>
        <w:t>S</w:t>
      </w:r>
      <w:r>
        <w:rPr>
          <w:rFonts w:ascii="Calibri" w:eastAsia="Calibri" w:hAnsi="Calibri" w:cs="Calibri"/>
          <w:color w:val="000000"/>
          <w:sz w:val="22"/>
        </w:rPr>
        <w:t xml:space="preserve">oftware </w:t>
      </w:r>
      <w:r w:rsidR="00AC56BB">
        <w:rPr>
          <w:rFonts w:ascii="Calibri" w:eastAsia="Calibri" w:hAnsi="Calibri" w:cs="Calibri"/>
          <w:color w:val="000000"/>
          <w:sz w:val="22"/>
        </w:rPr>
        <w:t>D</w:t>
      </w:r>
      <w:r>
        <w:rPr>
          <w:rFonts w:ascii="Calibri" w:eastAsia="Calibri" w:hAnsi="Calibri" w:cs="Calibri"/>
          <w:color w:val="000000"/>
          <w:sz w:val="22"/>
        </w:rPr>
        <w:t>eveloping</w:t>
      </w:r>
      <w:r>
        <w:rPr>
          <w:rFonts w:ascii="Calibri" w:eastAsia="Calibri" w:hAnsi="Calibri" w:cs="Calibri"/>
          <w:color w:val="000000"/>
          <w:sz w:val="22"/>
        </w:rPr>
        <w:t xml:space="preserve"> </w:t>
      </w:r>
      <w:r w:rsidR="00AC56BB">
        <w:rPr>
          <w:rFonts w:ascii="Calibri" w:eastAsia="Calibri" w:hAnsi="Calibri" w:cs="Calibri"/>
          <w:color w:val="000000"/>
          <w:sz w:val="22"/>
        </w:rPr>
        <w:t>K</w:t>
      </w:r>
      <w:r>
        <w:rPr>
          <w:rFonts w:ascii="Calibri" w:eastAsia="Calibri" w:hAnsi="Calibri" w:cs="Calibri"/>
          <w:color w:val="000000"/>
          <w:sz w:val="22"/>
        </w:rPr>
        <w:t>it</w:t>
      </w:r>
      <w:r w:rsidR="00AC56BB">
        <w:rPr>
          <w:rFonts w:ascii="Calibri" w:eastAsia="Calibri" w:hAnsi="Calibri" w:cs="Calibri"/>
          <w:color w:val="000000"/>
          <w:sz w:val="22"/>
        </w:rPr>
        <w:t>,</w:t>
      </w:r>
      <w:r>
        <w:rPr>
          <w:rFonts w:ascii="Calibri" w:eastAsia="Calibri" w:hAnsi="Calibri" w:cs="Calibri"/>
          <w:color w:val="000000"/>
          <w:sz w:val="22"/>
        </w:rPr>
        <w:t xml:space="preserve"> or SDK, available for both iOS and Android</w:t>
      </w:r>
      <w:r w:rsidR="00AC56BB">
        <w:rPr>
          <w:rFonts w:ascii="Calibri" w:eastAsia="Calibri" w:hAnsi="Calibri" w:cs="Calibri"/>
          <w:color w:val="000000"/>
          <w:sz w:val="22"/>
        </w:rPr>
        <w:t>,</w:t>
      </w:r>
      <w:r>
        <w:rPr>
          <w:rFonts w:ascii="Calibri" w:eastAsia="Calibri" w:hAnsi="Calibri" w:cs="Calibri"/>
          <w:color w:val="000000"/>
          <w:sz w:val="22"/>
        </w:rPr>
        <w:t xml:space="preserve"> and the </w:t>
      </w:r>
      <w:r w:rsidR="00AC56BB">
        <w:rPr>
          <w:rFonts w:ascii="Calibri" w:eastAsia="Calibri" w:hAnsi="Calibri" w:cs="Calibri"/>
          <w:color w:val="000000"/>
          <w:sz w:val="22"/>
        </w:rPr>
        <w:t>M</w:t>
      </w:r>
      <w:r>
        <w:rPr>
          <w:rFonts w:ascii="Calibri" w:eastAsia="Calibri" w:hAnsi="Calibri" w:cs="Calibri"/>
          <w:color w:val="000000"/>
          <w:sz w:val="22"/>
        </w:rPr>
        <w:t>aps JavaScript API. Th</w:t>
      </w:r>
      <w:r w:rsidR="00AC56BB">
        <w:rPr>
          <w:rFonts w:ascii="Calibri" w:eastAsia="Calibri" w:hAnsi="Calibri" w:cs="Calibri"/>
          <w:color w:val="000000"/>
          <w:sz w:val="22"/>
        </w:rPr>
        <w:t>ese</w:t>
      </w:r>
      <w:r>
        <w:rPr>
          <w:rFonts w:ascii="Calibri" w:eastAsia="Calibri" w:hAnsi="Calibri" w:cs="Calibri"/>
          <w:color w:val="000000"/>
          <w:sz w:val="22"/>
        </w:rPr>
        <w:t xml:space="preserve"> interfaces automatically manage access to Google Map servers, map display, billing, and service level agreement oversight</w:t>
      </w:r>
      <w:r w:rsidR="00AC56BB">
        <w:rPr>
          <w:rFonts w:ascii="Calibri" w:eastAsia="Calibri" w:hAnsi="Calibri" w:cs="Calibri"/>
          <w:color w:val="000000"/>
          <w:sz w:val="22"/>
        </w:rPr>
        <w:t>,</w:t>
      </w:r>
      <w:r>
        <w:rPr>
          <w:rFonts w:ascii="Calibri" w:eastAsia="Calibri" w:hAnsi="Calibri" w:cs="Calibri"/>
          <w:color w:val="000000"/>
          <w:sz w:val="22"/>
        </w:rPr>
        <w:t xml:space="preserve"> thus eliminating the need for manual involvement </w:t>
      </w:r>
      <w:r w:rsidR="00AC56BB">
        <w:rPr>
          <w:rFonts w:ascii="Calibri" w:eastAsia="Calibri" w:hAnsi="Calibri" w:cs="Calibri"/>
          <w:color w:val="000000"/>
          <w:sz w:val="22"/>
        </w:rPr>
        <w:t>and</w:t>
      </w:r>
      <w:r>
        <w:rPr>
          <w:rFonts w:ascii="Calibri" w:eastAsia="Calibri" w:hAnsi="Calibri" w:cs="Calibri"/>
          <w:color w:val="000000"/>
          <w:sz w:val="22"/>
        </w:rPr>
        <w:t xml:space="preserve"> </w:t>
      </w:r>
      <w:r>
        <w:rPr>
          <w:rFonts w:ascii="Calibri" w:eastAsia="Calibri" w:hAnsi="Calibri" w:cs="Calibri"/>
          <w:color w:val="000000"/>
          <w:sz w:val="22"/>
        </w:rPr>
        <w:t>coordination by Google.</w:t>
      </w:r>
    </w:p>
    <w:p w:rsidR="00AC56BB" w:rsidRPr="00AC56BB" w:rsidRDefault="00033A19">
      <w:pPr>
        <w:spacing w:before="240" w:beforeAutospacing="1"/>
        <w:ind w:left="2160" w:hanging="2160"/>
        <w:rPr>
          <w:rFonts w:ascii="Calibri" w:eastAsia="Calibri" w:hAnsi="Calibri" w:cs="Calibri"/>
          <w:b/>
          <w:color w:val="000000"/>
          <w:sz w:val="22"/>
        </w:rPr>
      </w:pPr>
      <w:r w:rsidRPr="00AC56BB">
        <w:rPr>
          <w:rFonts w:ascii="Calibri" w:eastAsia="Calibri" w:hAnsi="Calibri" w:cs="Calibri"/>
          <w:b/>
          <w:color w:val="000000"/>
          <w:sz w:val="22"/>
        </w:rPr>
        <w:tab/>
        <w:t>Digital Data Assets at Santander, a case of open banking</w:t>
      </w:r>
    </w:p>
    <w:p w:rsidR="00A77B3E" w:rsidRDefault="00033A19" w:rsidP="00AC56BB">
      <w:pPr>
        <w:spacing w:before="240" w:beforeAutospacing="1"/>
        <w:ind w:left="2160"/>
        <w:rPr>
          <w:rFonts w:ascii="Calibri" w:eastAsia="Calibri" w:hAnsi="Calibri" w:cs="Calibri"/>
          <w:color w:val="000000"/>
          <w:sz w:val="22"/>
        </w:rPr>
      </w:pPr>
      <w:r>
        <w:rPr>
          <w:rFonts w:ascii="Calibri" w:eastAsia="Calibri" w:hAnsi="Calibri" w:cs="Calibri"/>
          <w:color w:val="000000"/>
          <w:sz w:val="22"/>
        </w:rPr>
        <w:t>In 2018, two European regulatory bodies introduced banking regulations that require</w:t>
      </w:r>
      <w:r w:rsidR="00AC56BB">
        <w:rPr>
          <w:rFonts w:ascii="Calibri" w:eastAsia="Calibri" w:hAnsi="Calibri" w:cs="Calibri"/>
          <w:color w:val="000000"/>
          <w:sz w:val="22"/>
        </w:rPr>
        <w:t>d</w:t>
      </w:r>
      <w:r>
        <w:rPr>
          <w:rFonts w:ascii="Calibri" w:eastAsia="Calibri" w:hAnsi="Calibri" w:cs="Calibri"/>
          <w:color w:val="000000"/>
          <w:sz w:val="22"/>
        </w:rPr>
        <w:t xml:space="preserve"> finance institutions t</w:t>
      </w:r>
      <w:r>
        <w:rPr>
          <w:rFonts w:ascii="Calibri" w:eastAsia="Calibri" w:hAnsi="Calibri" w:cs="Calibri"/>
          <w:color w:val="000000"/>
          <w:sz w:val="22"/>
        </w:rPr>
        <w:t xml:space="preserve">o share customer permission data about individual and business bank accounts with licensed </w:t>
      </w:r>
      <w:r w:rsidR="00AC56BB">
        <w:rPr>
          <w:rFonts w:ascii="Calibri" w:eastAsia="Calibri" w:hAnsi="Calibri" w:cs="Calibri"/>
          <w:color w:val="000000"/>
          <w:sz w:val="22"/>
        </w:rPr>
        <w:t>third-party</w:t>
      </w:r>
      <w:r>
        <w:rPr>
          <w:rFonts w:ascii="Calibri" w:eastAsia="Calibri" w:hAnsi="Calibri" w:cs="Calibri"/>
          <w:color w:val="000000"/>
          <w:sz w:val="22"/>
        </w:rPr>
        <w:t xml:space="preserve"> providers</w:t>
      </w:r>
      <w:r w:rsidR="00AC56BB">
        <w:rPr>
          <w:rFonts w:ascii="Calibri" w:eastAsia="Calibri" w:hAnsi="Calibri" w:cs="Calibri"/>
          <w:color w:val="000000"/>
          <w:sz w:val="22"/>
        </w:rPr>
        <w:t>,</w:t>
      </w:r>
      <w:r>
        <w:rPr>
          <w:rFonts w:ascii="Calibri" w:eastAsia="Calibri" w:hAnsi="Calibri" w:cs="Calibri"/>
          <w:color w:val="000000"/>
          <w:sz w:val="22"/>
        </w:rPr>
        <w:t xml:space="preserve"> or TPPs. In effect, the Europeans Commission</w:t>
      </w:r>
      <w:r w:rsidR="00AC56BB">
        <w:rPr>
          <w:rFonts w:ascii="Calibri" w:eastAsia="Calibri" w:hAnsi="Calibri" w:cs="Calibri"/>
          <w:color w:val="000000"/>
          <w:sz w:val="22"/>
        </w:rPr>
        <w:t>’</w:t>
      </w:r>
      <w:r>
        <w:rPr>
          <w:rFonts w:ascii="Calibri" w:eastAsia="Calibri" w:hAnsi="Calibri" w:cs="Calibri"/>
          <w:color w:val="000000"/>
          <w:sz w:val="22"/>
        </w:rPr>
        <w:t xml:space="preserve">s </w:t>
      </w:r>
      <w:r w:rsidR="00AC56BB">
        <w:rPr>
          <w:rFonts w:ascii="Calibri" w:eastAsia="Calibri" w:hAnsi="Calibri" w:cs="Calibri"/>
          <w:color w:val="000000"/>
          <w:sz w:val="22"/>
        </w:rPr>
        <w:t>R</w:t>
      </w:r>
      <w:r>
        <w:rPr>
          <w:rFonts w:ascii="Calibri" w:eastAsia="Calibri" w:hAnsi="Calibri" w:cs="Calibri"/>
          <w:color w:val="000000"/>
          <w:sz w:val="22"/>
        </w:rPr>
        <w:t>evise</w:t>
      </w:r>
      <w:r w:rsidR="00AC56BB">
        <w:rPr>
          <w:rFonts w:ascii="Calibri" w:eastAsia="Calibri" w:hAnsi="Calibri" w:cs="Calibri"/>
          <w:color w:val="000000"/>
          <w:sz w:val="22"/>
        </w:rPr>
        <w:t>d</w:t>
      </w:r>
      <w:r>
        <w:rPr>
          <w:rFonts w:ascii="Calibri" w:eastAsia="Calibri" w:hAnsi="Calibri" w:cs="Calibri"/>
          <w:color w:val="000000"/>
          <w:sz w:val="22"/>
        </w:rPr>
        <w:t xml:space="preserve"> </w:t>
      </w:r>
      <w:r w:rsidR="00AC56BB">
        <w:rPr>
          <w:rFonts w:ascii="Calibri" w:eastAsia="Calibri" w:hAnsi="Calibri" w:cs="Calibri"/>
          <w:color w:val="000000"/>
          <w:sz w:val="22"/>
        </w:rPr>
        <w:t>P</w:t>
      </w:r>
      <w:r>
        <w:rPr>
          <w:rFonts w:ascii="Calibri" w:eastAsia="Calibri" w:hAnsi="Calibri" w:cs="Calibri"/>
          <w:color w:val="000000"/>
          <w:sz w:val="22"/>
        </w:rPr>
        <w:t>ayment</w:t>
      </w:r>
      <w:r>
        <w:rPr>
          <w:rFonts w:ascii="Calibri" w:eastAsia="Calibri" w:hAnsi="Calibri" w:cs="Calibri"/>
          <w:color w:val="000000"/>
          <w:sz w:val="22"/>
        </w:rPr>
        <w:t xml:space="preserve"> </w:t>
      </w:r>
      <w:r w:rsidR="00AC56BB">
        <w:rPr>
          <w:rFonts w:ascii="Calibri" w:eastAsia="Calibri" w:hAnsi="Calibri" w:cs="Calibri"/>
          <w:color w:val="000000"/>
          <w:sz w:val="22"/>
        </w:rPr>
        <w:t>S</w:t>
      </w:r>
      <w:r>
        <w:rPr>
          <w:rFonts w:ascii="Calibri" w:eastAsia="Calibri" w:hAnsi="Calibri" w:cs="Calibri"/>
          <w:color w:val="000000"/>
          <w:sz w:val="22"/>
        </w:rPr>
        <w:t xml:space="preserve">ervices </w:t>
      </w:r>
      <w:r w:rsidR="00AC56BB">
        <w:rPr>
          <w:rFonts w:ascii="Calibri" w:eastAsia="Calibri" w:hAnsi="Calibri" w:cs="Calibri"/>
          <w:color w:val="000000"/>
          <w:sz w:val="22"/>
        </w:rPr>
        <w:t>D</w:t>
      </w:r>
      <w:r>
        <w:rPr>
          <w:rFonts w:ascii="Calibri" w:eastAsia="Calibri" w:hAnsi="Calibri" w:cs="Calibri"/>
          <w:color w:val="000000"/>
          <w:sz w:val="22"/>
        </w:rPr>
        <w:t>irective</w:t>
      </w:r>
      <w:r w:rsidR="00AC56BB">
        <w:rPr>
          <w:rFonts w:ascii="Calibri" w:eastAsia="Calibri" w:hAnsi="Calibri" w:cs="Calibri"/>
          <w:color w:val="000000"/>
          <w:sz w:val="22"/>
        </w:rPr>
        <w:t>,</w:t>
      </w:r>
      <w:r>
        <w:rPr>
          <w:rFonts w:ascii="Calibri" w:eastAsia="Calibri" w:hAnsi="Calibri" w:cs="Calibri"/>
          <w:color w:val="000000"/>
          <w:sz w:val="22"/>
        </w:rPr>
        <w:t xml:space="preserve"> referred to as PST2</w:t>
      </w:r>
      <w:r w:rsidR="00AC56BB">
        <w:rPr>
          <w:rFonts w:ascii="Calibri" w:eastAsia="Calibri" w:hAnsi="Calibri" w:cs="Calibri"/>
          <w:color w:val="000000"/>
          <w:sz w:val="22"/>
        </w:rPr>
        <w:t>,</w:t>
      </w:r>
      <w:r>
        <w:rPr>
          <w:rFonts w:ascii="Calibri" w:eastAsia="Calibri" w:hAnsi="Calibri" w:cs="Calibri"/>
          <w:color w:val="000000"/>
          <w:sz w:val="22"/>
        </w:rPr>
        <w:t xml:space="preserve"> and the </w:t>
      </w:r>
      <w:r w:rsidR="00AC56BB">
        <w:rPr>
          <w:rFonts w:ascii="Calibri" w:eastAsia="Calibri" w:hAnsi="Calibri" w:cs="Calibri"/>
          <w:color w:val="000000"/>
          <w:sz w:val="22"/>
        </w:rPr>
        <w:t>O</w:t>
      </w:r>
      <w:r>
        <w:rPr>
          <w:rFonts w:ascii="Calibri" w:eastAsia="Calibri" w:hAnsi="Calibri" w:cs="Calibri"/>
          <w:color w:val="000000"/>
          <w:sz w:val="22"/>
        </w:rPr>
        <w:t xml:space="preserve">pen </w:t>
      </w:r>
      <w:r w:rsidR="00AC56BB">
        <w:rPr>
          <w:rFonts w:ascii="Calibri" w:eastAsia="Calibri" w:hAnsi="Calibri" w:cs="Calibri"/>
          <w:color w:val="000000"/>
          <w:sz w:val="22"/>
        </w:rPr>
        <w:t>B</w:t>
      </w:r>
      <w:r>
        <w:rPr>
          <w:rFonts w:ascii="Calibri" w:eastAsia="Calibri" w:hAnsi="Calibri" w:cs="Calibri"/>
          <w:color w:val="000000"/>
          <w:sz w:val="22"/>
        </w:rPr>
        <w:t>anking initiative from the U</w:t>
      </w:r>
      <w:r>
        <w:rPr>
          <w:rFonts w:ascii="Calibri" w:eastAsia="Calibri" w:hAnsi="Calibri" w:cs="Calibri"/>
          <w:color w:val="000000"/>
          <w:sz w:val="22"/>
        </w:rPr>
        <w:t xml:space="preserve">K's </w:t>
      </w:r>
      <w:r w:rsidR="00AC56BB">
        <w:rPr>
          <w:rFonts w:ascii="Calibri" w:eastAsia="Calibri" w:hAnsi="Calibri" w:cs="Calibri"/>
          <w:color w:val="000000"/>
          <w:sz w:val="22"/>
        </w:rPr>
        <w:t>C</w:t>
      </w:r>
      <w:r>
        <w:rPr>
          <w:rFonts w:ascii="Calibri" w:eastAsia="Calibri" w:hAnsi="Calibri" w:cs="Calibri"/>
          <w:color w:val="000000"/>
          <w:sz w:val="22"/>
        </w:rPr>
        <w:t xml:space="preserve">ompetition and </w:t>
      </w:r>
      <w:r w:rsidR="00AC56BB">
        <w:rPr>
          <w:rFonts w:ascii="Calibri" w:eastAsia="Calibri" w:hAnsi="Calibri" w:cs="Calibri"/>
          <w:color w:val="000000"/>
          <w:sz w:val="22"/>
        </w:rPr>
        <w:t>M</w:t>
      </w:r>
      <w:r>
        <w:rPr>
          <w:rFonts w:ascii="Calibri" w:eastAsia="Calibri" w:hAnsi="Calibri" w:cs="Calibri"/>
          <w:color w:val="000000"/>
          <w:sz w:val="22"/>
        </w:rPr>
        <w:t xml:space="preserve">arkets </w:t>
      </w:r>
      <w:r w:rsidR="00AC56BB">
        <w:rPr>
          <w:rFonts w:ascii="Calibri" w:eastAsia="Calibri" w:hAnsi="Calibri" w:cs="Calibri"/>
          <w:color w:val="000000"/>
          <w:sz w:val="22"/>
        </w:rPr>
        <w:t>A</w:t>
      </w:r>
      <w:r>
        <w:rPr>
          <w:rFonts w:ascii="Calibri" w:eastAsia="Calibri" w:hAnsi="Calibri" w:cs="Calibri"/>
          <w:color w:val="000000"/>
          <w:sz w:val="22"/>
        </w:rPr>
        <w:t>uthority encourage</w:t>
      </w:r>
      <w:r w:rsidR="00AC56BB">
        <w:rPr>
          <w:rFonts w:ascii="Calibri" w:eastAsia="Calibri" w:hAnsi="Calibri" w:cs="Calibri"/>
          <w:color w:val="000000"/>
          <w:sz w:val="22"/>
        </w:rPr>
        <w:t>d</w:t>
      </w:r>
      <w:r>
        <w:rPr>
          <w:rFonts w:ascii="Calibri" w:eastAsia="Calibri" w:hAnsi="Calibri" w:cs="Calibri"/>
          <w:color w:val="000000"/>
          <w:sz w:val="22"/>
        </w:rPr>
        <w:t xml:space="preserve"> banks to create digital data assets by requiring that banks share their data assets via open, secure, and standardized interfaces.</w:t>
      </w:r>
    </w:p>
    <w:p w:rsidR="00AC56BB"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 comply</w:t>
      </w:r>
      <w:r>
        <w:rPr>
          <w:rFonts w:ascii="Calibri" w:eastAsia="Calibri" w:hAnsi="Calibri" w:cs="Calibri"/>
          <w:color w:val="000000"/>
          <w:sz w:val="22"/>
        </w:rPr>
        <w:t xml:space="preserve"> with the regulations, most incumbent banks had to consolidate multiple systems of record, resolve data </w:t>
      </w:r>
      <w:r w:rsidR="00AC56BB">
        <w:rPr>
          <w:rFonts w:ascii="Calibri" w:eastAsia="Calibri" w:hAnsi="Calibri" w:cs="Calibri"/>
          <w:color w:val="000000"/>
          <w:sz w:val="22"/>
        </w:rPr>
        <w:t>and</w:t>
      </w:r>
      <w:r>
        <w:rPr>
          <w:rFonts w:ascii="Calibri" w:eastAsia="Calibri" w:hAnsi="Calibri" w:cs="Calibri"/>
          <w:color w:val="000000"/>
          <w:sz w:val="22"/>
        </w:rPr>
        <w:t xml:space="preserve"> technical conflicts</w:t>
      </w:r>
      <w:r w:rsidR="00AC56BB">
        <w:rPr>
          <w:rFonts w:ascii="Calibri" w:eastAsia="Calibri" w:hAnsi="Calibri" w:cs="Calibri"/>
          <w:color w:val="000000"/>
          <w:sz w:val="22"/>
        </w:rPr>
        <w:t>,</w:t>
      </w:r>
      <w:r>
        <w:rPr>
          <w:rFonts w:ascii="Calibri" w:eastAsia="Calibri" w:hAnsi="Calibri" w:cs="Calibri"/>
          <w:color w:val="000000"/>
          <w:sz w:val="22"/>
        </w:rPr>
        <w:t xml:space="preserve"> and abstract DDA users from the internal complexity of highly integrated legacy systems.</w:t>
      </w:r>
    </w:p>
    <w:p w:rsidR="00A77B3E" w:rsidRDefault="00033A19" w:rsidP="00AC56BB">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Initially TPPs struggled to access and u</w:t>
      </w:r>
      <w:r>
        <w:rPr>
          <w:rFonts w:ascii="Calibri" w:eastAsia="Calibri" w:hAnsi="Calibri" w:cs="Calibri"/>
          <w:color w:val="000000"/>
          <w:sz w:val="22"/>
        </w:rPr>
        <w:t xml:space="preserve">se the shared data assets because they were not yet offer as DDAs. Swedish </w:t>
      </w:r>
      <w:r w:rsidR="00AC56BB">
        <w:rPr>
          <w:rFonts w:ascii="Calibri" w:eastAsia="Calibri" w:hAnsi="Calibri" w:cs="Calibri"/>
          <w:color w:val="000000"/>
          <w:sz w:val="22"/>
        </w:rPr>
        <w:t>f</w:t>
      </w:r>
      <w:r>
        <w:rPr>
          <w:rFonts w:ascii="Calibri" w:eastAsia="Calibri" w:hAnsi="Calibri" w:cs="Calibri"/>
          <w:color w:val="000000"/>
          <w:sz w:val="22"/>
        </w:rPr>
        <w:t>in</w:t>
      </w:r>
      <w:r w:rsidR="00AC56BB">
        <w:rPr>
          <w:rFonts w:ascii="Calibri" w:eastAsia="Calibri" w:hAnsi="Calibri" w:cs="Calibri"/>
          <w:color w:val="000000"/>
          <w:sz w:val="22"/>
        </w:rPr>
        <w:t>t</w:t>
      </w:r>
      <w:r>
        <w:rPr>
          <w:rFonts w:ascii="Calibri" w:eastAsia="Calibri" w:hAnsi="Calibri" w:cs="Calibri"/>
          <w:color w:val="000000"/>
          <w:sz w:val="22"/>
        </w:rPr>
        <w:t>ech</w:t>
      </w:r>
      <w:r>
        <w:rPr>
          <w:rFonts w:ascii="Calibri" w:eastAsia="Calibri" w:hAnsi="Calibri" w:cs="Calibri"/>
          <w:color w:val="000000"/>
          <w:sz w:val="22"/>
        </w:rPr>
        <w:t xml:space="preserve"> </w:t>
      </w:r>
      <w:proofErr w:type="spellStart"/>
      <w:r>
        <w:rPr>
          <w:rFonts w:ascii="Calibri" w:eastAsia="Calibri" w:hAnsi="Calibri" w:cs="Calibri"/>
          <w:color w:val="000000"/>
          <w:sz w:val="22"/>
        </w:rPr>
        <w:t>Tink</w:t>
      </w:r>
      <w:proofErr w:type="spellEnd"/>
      <w:r>
        <w:rPr>
          <w:rFonts w:ascii="Calibri" w:eastAsia="Calibri" w:hAnsi="Calibri" w:cs="Calibri"/>
          <w:color w:val="000000"/>
          <w:sz w:val="22"/>
        </w:rPr>
        <w:t xml:space="preserve">, for example, reported the need to resolve unexpected interdependencies with bank systems by manually coordinating with the banks </w:t>
      </w:r>
      <w:r w:rsidR="00AC56BB">
        <w:rPr>
          <w:rFonts w:ascii="Calibri" w:eastAsia="Calibri" w:hAnsi="Calibri" w:cs="Calibri"/>
          <w:color w:val="000000"/>
          <w:sz w:val="22"/>
        </w:rPr>
        <w:t>“</w:t>
      </w:r>
      <w:r>
        <w:rPr>
          <w:rFonts w:ascii="Calibri" w:eastAsia="Calibri" w:hAnsi="Calibri" w:cs="Calibri"/>
          <w:color w:val="000000"/>
          <w:sz w:val="22"/>
        </w:rPr>
        <w:t>through lengthy email threads, confer</w:t>
      </w:r>
      <w:r>
        <w:rPr>
          <w:rFonts w:ascii="Calibri" w:eastAsia="Calibri" w:hAnsi="Calibri" w:cs="Calibri"/>
          <w:color w:val="000000"/>
          <w:sz w:val="22"/>
        </w:rPr>
        <w:t>ence calls</w:t>
      </w:r>
      <w:r w:rsidR="00AC56BB">
        <w:rPr>
          <w:rFonts w:ascii="Calibri" w:eastAsia="Calibri" w:hAnsi="Calibri" w:cs="Calibri"/>
          <w:color w:val="000000"/>
          <w:sz w:val="22"/>
        </w:rPr>
        <w:t>, and</w:t>
      </w:r>
      <w:r>
        <w:rPr>
          <w:rFonts w:ascii="Calibri" w:eastAsia="Calibri" w:hAnsi="Calibri" w:cs="Calibri"/>
          <w:color w:val="000000"/>
          <w:sz w:val="22"/>
        </w:rPr>
        <w:t xml:space="preserve"> WhatsApp</w:t>
      </w:r>
      <w:r>
        <w:rPr>
          <w:rFonts w:ascii="Calibri" w:eastAsia="Calibri" w:hAnsi="Calibri" w:cs="Calibri"/>
          <w:color w:val="000000"/>
          <w:sz w:val="22"/>
        </w:rPr>
        <w:t xml:space="preserve"> text exchanges.</w:t>
      </w:r>
      <w:r w:rsidR="00AC56BB">
        <w:rPr>
          <w:rFonts w:ascii="Calibri" w:eastAsia="Calibri" w:hAnsi="Calibri" w:cs="Calibri"/>
          <w:color w:val="000000"/>
          <w:sz w:val="22"/>
        </w:rPr>
        <w:t>”</w:t>
      </w:r>
      <w:r>
        <w:rPr>
          <w:rFonts w:ascii="Calibri" w:eastAsia="Calibri" w:hAnsi="Calibri" w:cs="Calibri"/>
          <w:color w:val="000000"/>
          <w:sz w:val="22"/>
        </w:rPr>
        <w:t xml:space="preserve"> When first exposed, banks</w:t>
      </w:r>
      <w:r w:rsidR="00AC56BB">
        <w:rPr>
          <w:rFonts w:ascii="Calibri" w:eastAsia="Calibri" w:hAnsi="Calibri" w:cs="Calibri"/>
          <w:color w:val="000000"/>
          <w:sz w:val="22"/>
        </w:rPr>
        <w:t>’</w:t>
      </w:r>
      <w:r>
        <w:rPr>
          <w:rFonts w:ascii="Calibri" w:eastAsia="Calibri" w:hAnsi="Calibri" w:cs="Calibri"/>
          <w:color w:val="000000"/>
          <w:sz w:val="22"/>
        </w:rPr>
        <w:t xml:space="preserve"> account data was neither modular nor fully encapsulated in a programmatic interface, leaving innovators like </w:t>
      </w:r>
      <w:proofErr w:type="spellStart"/>
      <w:r>
        <w:rPr>
          <w:rFonts w:ascii="Calibri" w:eastAsia="Calibri" w:hAnsi="Calibri" w:cs="Calibri"/>
          <w:color w:val="000000"/>
          <w:sz w:val="22"/>
        </w:rPr>
        <w:t>Tink</w:t>
      </w:r>
      <w:proofErr w:type="spellEnd"/>
      <w:r>
        <w:rPr>
          <w:rFonts w:ascii="Calibri" w:eastAsia="Calibri" w:hAnsi="Calibri" w:cs="Calibri"/>
          <w:color w:val="000000"/>
          <w:sz w:val="22"/>
        </w:rPr>
        <w:t xml:space="preserve"> to </w:t>
      </w:r>
      <w:r w:rsidR="00AC56BB">
        <w:rPr>
          <w:rFonts w:ascii="Calibri" w:eastAsia="Calibri" w:hAnsi="Calibri" w:cs="Calibri"/>
          <w:color w:val="000000"/>
          <w:sz w:val="22"/>
        </w:rPr>
        <w:t>“</w:t>
      </w:r>
      <w:r>
        <w:rPr>
          <w:rFonts w:ascii="Calibri" w:eastAsia="Calibri" w:hAnsi="Calibri" w:cs="Calibri"/>
          <w:color w:val="000000"/>
          <w:sz w:val="22"/>
        </w:rPr>
        <w:t>make a connection, call the bank</w:t>
      </w:r>
      <w:r w:rsidR="00AC56BB">
        <w:rPr>
          <w:rFonts w:ascii="Calibri" w:eastAsia="Calibri" w:hAnsi="Calibri" w:cs="Calibri"/>
          <w:color w:val="000000"/>
          <w:sz w:val="22"/>
        </w:rPr>
        <w:t>,</w:t>
      </w:r>
      <w:r>
        <w:rPr>
          <w:rFonts w:ascii="Calibri" w:eastAsia="Calibri" w:hAnsi="Calibri" w:cs="Calibri"/>
          <w:color w:val="000000"/>
          <w:sz w:val="22"/>
        </w:rPr>
        <w:t xml:space="preserve"> and wait for their approval.</w:t>
      </w:r>
      <w:r w:rsidR="00AC56BB">
        <w:rPr>
          <w:rFonts w:ascii="Calibri" w:eastAsia="Calibri" w:hAnsi="Calibri" w:cs="Calibri"/>
          <w:color w:val="000000"/>
          <w:sz w:val="22"/>
        </w:rPr>
        <w:t>”</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Over time, however, banking institutions increasingly succeeded in structuring customer account and transaction data as DDAs. For example, Santander group is a Spanish financial group founded in 1857</w:t>
      </w:r>
      <w:r>
        <w:rPr>
          <w:rFonts w:ascii="Calibri" w:eastAsia="Calibri" w:hAnsi="Calibri" w:cs="Calibri"/>
          <w:color w:val="000000"/>
          <w:sz w:val="22"/>
        </w:rPr>
        <w:t xml:space="preserve"> and head</w:t>
      </w:r>
      <w:r>
        <w:rPr>
          <w:rFonts w:ascii="Calibri" w:eastAsia="Calibri" w:hAnsi="Calibri" w:cs="Calibri"/>
          <w:color w:val="000000"/>
          <w:sz w:val="22"/>
        </w:rPr>
        <w:t>quarter</w:t>
      </w:r>
      <w:r w:rsidR="00AC56BB">
        <w:rPr>
          <w:rFonts w:ascii="Calibri" w:eastAsia="Calibri" w:hAnsi="Calibri" w:cs="Calibri"/>
          <w:color w:val="000000"/>
          <w:sz w:val="22"/>
        </w:rPr>
        <w:t>ed</w:t>
      </w:r>
      <w:r>
        <w:rPr>
          <w:rFonts w:ascii="Calibri" w:eastAsia="Calibri" w:hAnsi="Calibri" w:cs="Calibri"/>
          <w:color w:val="000000"/>
          <w:sz w:val="22"/>
        </w:rPr>
        <w:t xml:space="preserve"> in Madrid. The company serves more than 140 million corporate and private customers worldwide. Santander UK, the British subsidiary of the group</w:t>
      </w:r>
      <w:r w:rsidR="00AC56BB">
        <w:rPr>
          <w:rFonts w:ascii="Calibri" w:eastAsia="Calibri" w:hAnsi="Calibri" w:cs="Calibri"/>
          <w:color w:val="000000"/>
          <w:sz w:val="22"/>
        </w:rPr>
        <w:t>,</w:t>
      </w:r>
      <w:r>
        <w:rPr>
          <w:rFonts w:ascii="Calibri" w:eastAsia="Calibri" w:hAnsi="Calibri" w:cs="Calibri"/>
          <w:color w:val="000000"/>
          <w:sz w:val="22"/>
        </w:rPr>
        <w:t xml:space="preserve"> made its customer account and transaction data available to a digital data asset product ca</w:t>
      </w:r>
      <w:r>
        <w:rPr>
          <w:rFonts w:ascii="Calibri" w:eastAsia="Calibri" w:hAnsi="Calibri" w:cs="Calibri"/>
          <w:color w:val="000000"/>
          <w:sz w:val="22"/>
        </w:rPr>
        <w:t>lled Account and Transactions V3.</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AC56BB" w:rsidRPr="00AC56BB">
        <w:rPr>
          <w:rFonts w:ascii="Calibri" w:eastAsia="Calibri" w:hAnsi="Calibri" w:cs="Calibri"/>
          <w:b/>
          <w:color w:val="000000"/>
          <w:sz w:val="22"/>
        </w:rPr>
        <w:t>Value:</w:t>
      </w:r>
      <w:r>
        <w:rPr>
          <w:rFonts w:ascii="Calibri" w:eastAsia="Calibri" w:hAnsi="Calibri" w:cs="Calibri"/>
          <w:color w:val="000000"/>
          <w:sz w:val="22"/>
        </w:rPr>
        <w:t xml:space="preserve"> Account and Transactions V3 creates value by providing transaction level and account level information for use by TPPs, which include startups and</w:t>
      </w:r>
      <w:r>
        <w:rPr>
          <w:rFonts w:ascii="Calibri" w:eastAsia="Calibri" w:hAnsi="Calibri" w:cs="Calibri"/>
          <w:color w:val="000000"/>
          <w:sz w:val="22"/>
        </w:rPr>
        <w:t xml:space="preserve"> direct competitors. For example, the startup </w:t>
      </w:r>
      <w:r w:rsidR="00AC56BB">
        <w:rPr>
          <w:rFonts w:ascii="Calibri" w:eastAsia="Calibri" w:hAnsi="Calibri" w:cs="Calibri"/>
          <w:color w:val="000000"/>
          <w:sz w:val="22"/>
        </w:rPr>
        <w:t>Coconut’s</w:t>
      </w:r>
      <w:r>
        <w:rPr>
          <w:rFonts w:ascii="Calibri" w:eastAsia="Calibri" w:hAnsi="Calibri" w:cs="Calibri"/>
          <w:color w:val="000000"/>
          <w:sz w:val="22"/>
        </w:rPr>
        <w:t xml:space="preserve"> core product is a bookkeeping app that accesses Santander's UK customer account data to help the </w:t>
      </w:r>
      <w:r w:rsidR="00AC56BB">
        <w:rPr>
          <w:rFonts w:ascii="Calibri" w:eastAsia="Calibri" w:hAnsi="Calibri" w:cs="Calibri"/>
          <w:color w:val="000000"/>
          <w:sz w:val="22"/>
        </w:rPr>
        <w:t>self-employed</w:t>
      </w:r>
      <w:r>
        <w:rPr>
          <w:rFonts w:ascii="Calibri" w:eastAsia="Calibri" w:hAnsi="Calibri" w:cs="Calibri"/>
          <w:color w:val="000000"/>
          <w:sz w:val="22"/>
        </w:rPr>
        <w:t xml:space="preserve"> track income, claim expenses</w:t>
      </w:r>
      <w:r w:rsidR="00AC56BB">
        <w:rPr>
          <w:rFonts w:ascii="Calibri" w:eastAsia="Calibri" w:hAnsi="Calibri" w:cs="Calibri"/>
          <w:color w:val="000000"/>
          <w:sz w:val="22"/>
        </w:rPr>
        <w:t>,</w:t>
      </w:r>
      <w:r>
        <w:rPr>
          <w:rFonts w:ascii="Calibri" w:eastAsia="Calibri" w:hAnsi="Calibri" w:cs="Calibri"/>
          <w:color w:val="000000"/>
          <w:sz w:val="22"/>
        </w:rPr>
        <w:t xml:space="preserve"> and calculate taxes. Barclays, a British banking </w:t>
      </w:r>
      <w:r>
        <w:rPr>
          <w:rFonts w:ascii="Calibri" w:eastAsia="Calibri" w:hAnsi="Calibri" w:cs="Calibri"/>
          <w:color w:val="000000"/>
          <w:sz w:val="22"/>
        </w:rPr>
        <w:t>competitor to Santander UK, leverages the Account and Transaction V3 product to offer its own customers access to accounts held with other financial institutions via the Barclays mobile app. Moreover</w:t>
      </w:r>
      <w:r w:rsidR="00AC56BB">
        <w:rPr>
          <w:rFonts w:ascii="Calibri" w:eastAsia="Calibri" w:hAnsi="Calibri" w:cs="Calibri"/>
          <w:color w:val="000000"/>
          <w:sz w:val="22"/>
        </w:rPr>
        <w:t>,</w:t>
      </w:r>
      <w:r>
        <w:rPr>
          <w:rFonts w:ascii="Calibri" w:eastAsia="Calibri" w:hAnsi="Calibri" w:cs="Calibri"/>
          <w:color w:val="000000"/>
          <w:sz w:val="22"/>
        </w:rPr>
        <w:t xml:space="preserve"> like TPPs, Santander UK</w:t>
      </w:r>
      <w:r w:rsidR="00AC56BB">
        <w:rPr>
          <w:rFonts w:ascii="Calibri" w:eastAsia="Calibri" w:hAnsi="Calibri" w:cs="Calibri"/>
          <w:color w:val="000000"/>
          <w:sz w:val="22"/>
        </w:rPr>
        <w:t>’s</w:t>
      </w:r>
      <w:r>
        <w:rPr>
          <w:rFonts w:ascii="Calibri" w:eastAsia="Calibri" w:hAnsi="Calibri" w:cs="Calibri"/>
          <w:color w:val="000000"/>
          <w:sz w:val="22"/>
        </w:rPr>
        <w:t xml:space="preserve"> own initiatives can access the D</w:t>
      </w:r>
      <w:r>
        <w:rPr>
          <w:rFonts w:ascii="Calibri" w:eastAsia="Calibri" w:hAnsi="Calibri" w:cs="Calibri"/>
          <w:color w:val="000000"/>
          <w:sz w:val="22"/>
        </w:rPr>
        <w:t>DA to create value via reuse and recombination.</w:t>
      </w:r>
    </w:p>
    <w:p w:rsidR="00A77B3E" w:rsidRDefault="00033A19">
      <w:pPr>
        <w:spacing w:before="240" w:beforeAutospacing="1"/>
        <w:ind w:left="2160" w:hanging="2160"/>
        <w:rPr>
          <w:rFonts w:ascii="Calibri" w:eastAsia="Calibri" w:hAnsi="Calibri" w:cs="Calibri"/>
          <w:color w:val="000000"/>
          <w:sz w:val="22"/>
        </w:rPr>
      </w:pPr>
      <w:r w:rsidRPr="00AC56BB">
        <w:rPr>
          <w:rFonts w:ascii="Calibri" w:eastAsia="Calibri" w:hAnsi="Calibri" w:cs="Calibri"/>
          <w:b/>
          <w:color w:val="000000"/>
          <w:sz w:val="22"/>
        </w:rPr>
        <w:tab/>
        <w:t>Modularity</w:t>
      </w:r>
      <w:r w:rsidR="00AC56BB" w:rsidRPr="00AC56BB">
        <w:rPr>
          <w:rFonts w:ascii="Calibri" w:eastAsia="Calibri" w:hAnsi="Calibri" w:cs="Calibri"/>
          <w:b/>
          <w:color w:val="000000"/>
          <w:sz w:val="22"/>
        </w:rPr>
        <w:t>:</w:t>
      </w:r>
      <w:r>
        <w:rPr>
          <w:rFonts w:ascii="Calibri" w:eastAsia="Calibri" w:hAnsi="Calibri" w:cs="Calibri"/>
          <w:color w:val="000000"/>
          <w:sz w:val="22"/>
        </w:rPr>
        <w:t xml:space="preserve"> TPPs can integrate Account and Transactions V3 into their initiatives without specific knowledge of the technology used by Santan</w:t>
      </w:r>
      <w:r>
        <w:rPr>
          <w:rFonts w:ascii="Calibri" w:eastAsia="Calibri" w:hAnsi="Calibri" w:cs="Calibri"/>
          <w:color w:val="000000"/>
          <w:sz w:val="22"/>
        </w:rPr>
        <w:t xml:space="preserve">der UK or the internal structure of the Account and Transaction Data </w:t>
      </w:r>
      <w:r w:rsidR="00AC56BB">
        <w:rPr>
          <w:rFonts w:ascii="Calibri" w:eastAsia="Calibri" w:hAnsi="Calibri" w:cs="Calibri"/>
          <w:color w:val="000000"/>
          <w:sz w:val="22"/>
        </w:rPr>
        <w:t>being</w:t>
      </w:r>
      <w:r>
        <w:rPr>
          <w:rFonts w:ascii="Calibri" w:eastAsia="Calibri" w:hAnsi="Calibri" w:cs="Calibri"/>
          <w:color w:val="000000"/>
          <w:sz w:val="22"/>
        </w:rPr>
        <w:t xml:space="preserve"> exchange</w:t>
      </w:r>
      <w:r w:rsidR="00AC56BB">
        <w:rPr>
          <w:rFonts w:ascii="Calibri" w:eastAsia="Calibri" w:hAnsi="Calibri" w:cs="Calibri"/>
          <w:color w:val="000000"/>
          <w:sz w:val="22"/>
        </w:rPr>
        <w:t>d</w:t>
      </w:r>
      <w:r>
        <w:rPr>
          <w:rFonts w:ascii="Calibri" w:eastAsia="Calibri" w:hAnsi="Calibri" w:cs="Calibri"/>
          <w:color w:val="000000"/>
          <w:sz w:val="22"/>
        </w:rPr>
        <w:t>. TPPs refer to Santander UK's published data exchange protocols to make use of the DDA with expectations shaped by pre-specified service level agreements.</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Pr="00AC56BB">
        <w:rPr>
          <w:rFonts w:ascii="Calibri" w:eastAsia="Calibri" w:hAnsi="Calibri" w:cs="Calibri"/>
          <w:b/>
          <w:color w:val="000000"/>
          <w:sz w:val="22"/>
        </w:rPr>
        <w:t>Programmatic interface</w:t>
      </w:r>
      <w:r w:rsidR="00AC56BB" w:rsidRPr="00AC56BB">
        <w:rPr>
          <w:rFonts w:ascii="Calibri" w:eastAsia="Calibri" w:hAnsi="Calibri" w:cs="Calibri"/>
          <w:b/>
          <w:color w:val="000000"/>
          <w:sz w:val="22"/>
        </w:rPr>
        <w:t>:</w:t>
      </w:r>
      <w:r>
        <w:rPr>
          <w:rFonts w:ascii="Calibri" w:eastAsia="Calibri" w:hAnsi="Calibri" w:cs="Calibri"/>
          <w:color w:val="000000"/>
          <w:sz w:val="22"/>
        </w:rPr>
        <w:t xml:space="preserve"> TPPs access Santander UK's </w:t>
      </w:r>
      <w:r w:rsidR="00AC56BB">
        <w:rPr>
          <w:rFonts w:ascii="Calibri" w:eastAsia="Calibri" w:hAnsi="Calibri" w:cs="Calibri"/>
          <w:color w:val="000000"/>
          <w:sz w:val="22"/>
        </w:rPr>
        <w:t>A</w:t>
      </w:r>
      <w:r>
        <w:rPr>
          <w:rFonts w:ascii="Calibri" w:eastAsia="Calibri" w:hAnsi="Calibri" w:cs="Calibri"/>
          <w:color w:val="000000"/>
          <w:sz w:val="22"/>
        </w:rPr>
        <w:t xml:space="preserve">ccount and </w:t>
      </w:r>
      <w:r w:rsidR="00AC56BB">
        <w:rPr>
          <w:rFonts w:ascii="Calibri" w:eastAsia="Calibri" w:hAnsi="Calibri" w:cs="Calibri"/>
          <w:color w:val="000000"/>
          <w:sz w:val="22"/>
        </w:rPr>
        <w:t>T</w:t>
      </w:r>
      <w:r>
        <w:rPr>
          <w:rFonts w:ascii="Calibri" w:eastAsia="Calibri" w:hAnsi="Calibri" w:cs="Calibri"/>
          <w:color w:val="000000"/>
          <w:sz w:val="22"/>
        </w:rPr>
        <w:t>ransaction</w:t>
      </w:r>
      <w:r w:rsidR="00AC56BB">
        <w:rPr>
          <w:rFonts w:ascii="Calibri" w:eastAsia="Calibri" w:hAnsi="Calibri" w:cs="Calibri"/>
          <w:color w:val="000000"/>
          <w:sz w:val="22"/>
        </w:rPr>
        <w:t>s</w:t>
      </w:r>
      <w:r>
        <w:rPr>
          <w:rFonts w:ascii="Calibri" w:eastAsia="Calibri" w:hAnsi="Calibri" w:cs="Calibri"/>
          <w:color w:val="000000"/>
          <w:sz w:val="22"/>
        </w:rPr>
        <w:t xml:space="preserve"> V3 product without requiring physical or manual involvement from the bank</w:t>
      </w:r>
      <w:r w:rsidR="00E00F13">
        <w:rPr>
          <w:rFonts w:ascii="Calibri" w:eastAsia="Calibri" w:hAnsi="Calibri" w:cs="Calibri"/>
          <w:color w:val="000000"/>
          <w:sz w:val="22"/>
        </w:rPr>
        <w:t>’</w:t>
      </w:r>
      <w:r>
        <w:rPr>
          <w:rFonts w:ascii="Calibri" w:eastAsia="Calibri" w:hAnsi="Calibri" w:cs="Calibri"/>
          <w:color w:val="000000"/>
          <w:sz w:val="22"/>
        </w:rPr>
        <w:t>s engineers, managers, or operational staff. Rather</w:t>
      </w:r>
      <w:r w:rsidR="00E00F13">
        <w:rPr>
          <w:rFonts w:ascii="Calibri" w:eastAsia="Calibri" w:hAnsi="Calibri" w:cs="Calibri"/>
          <w:color w:val="000000"/>
          <w:sz w:val="22"/>
        </w:rPr>
        <w:t>,</w:t>
      </w:r>
      <w:r>
        <w:rPr>
          <w:rFonts w:ascii="Calibri" w:eastAsia="Calibri" w:hAnsi="Calibri" w:cs="Calibri"/>
          <w:color w:val="000000"/>
          <w:sz w:val="22"/>
        </w:rPr>
        <w:t xml:space="preserve"> Account</w:t>
      </w:r>
      <w:r>
        <w:rPr>
          <w:rFonts w:ascii="Calibri" w:eastAsia="Calibri" w:hAnsi="Calibri" w:cs="Calibri"/>
          <w:color w:val="000000"/>
          <w:sz w:val="22"/>
        </w:rPr>
        <w:t xml:space="preserve"> and Transaction V3 exposes data programmatically via an API that adheres to the </w:t>
      </w:r>
      <w:r w:rsidR="00E00F13">
        <w:rPr>
          <w:rFonts w:ascii="Calibri" w:eastAsia="Calibri" w:hAnsi="Calibri" w:cs="Calibri"/>
          <w:color w:val="000000"/>
          <w:sz w:val="22"/>
        </w:rPr>
        <w:t>O</w:t>
      </w:r>
      <w:r>
        <w:rPr>
          <w:rFonts w:ascii="Calibri" w:eastAsia="Calibri" w:hAnsi="Calibri" w:cs="Calibri"/>
          <w:color w:val="000000"/>
          <w:sz w:val="22"/>
        </w:rPr>
        <w:t xml:space="preserve">pen </w:t>
      </w:r>
      <w:r w:rsidR="00E00F13">
        <w:rPr>
          <w:rFonts w:ascii="Calibri" w:eastAsia="Calibri" w:hAnsi="Calibri" w:cs="Calibri"/>
          <w:color w:val="000000"/>
          <w:sz w:val="22"/>
        </w:rPr>
        <w:t>B</w:t>
      </w:r>
      <w:r>
        <w:rPr>
          <w:rFonts w:ascii="Calibri" w:eastAsia="Calibri" w:hAnsi="Calibri" w:cs="Calibri"/>
          <w:color w:val="000000"/>
          <w:sz w:val="22"/>
        </w:rPr>
        <w:t>anking</w:t>
      </w:r>
      <w:r>
        <w:rPr>
          <w:rFonts w:ascii="Calibri" w:eastAsia="Calibri" w:hAnsi="Calibri" w:cs="Calibri"/>
          <w:color w:val="000000"/>
          <w:sz w:val="22"/>
        </w:rPr>
        <w:t xml:space="preserve"> API specifications. The interface details</w:t>
      </w:r>
      <w:r>
        <w:rPr>
          <w:rFonts w:ascii="Calibri" w:eastAsia="Calibri" w:hAnsi="Calibri" w:cs="Calibri"/>
          <w:color w:val="000000"/>
          <w:sz w:val="22"/>
        </w:rPr>
        <w:t xml:space="preserve"> technical specifications</w:t>
      </w:r>
      <w:r w:rsidR="00E00F13">
        <w:rPr>
          <w:rFonts w:ascii="Calibri" w:eastAsia="Calibri" w:hAnsi="Calibri" w:cs="Calibri"/>
          <w:color w:val="000000"/>
          <w:sz w:val="22"/>
        </w:rPr>
        <w:t xml:space="preserve"> (</w:t>
      </w:r>
      <w:r>
        <w:rPr>
          <w:rFonts w:ascii="Calibri" w:eastAsia="Calibri" w:hAnsi="Calibri" w:cs="Calibri"/>
          <w:color w:val="000000"/>
          <w:sz w:val="22"/>
        </w:rPr>
        <w:t xml:space="preserve">for example, </w:t>
      </w:r>
      <w:r w:rsidR="00E00F13">
        <w:rPr>
          <w:rFonts w:ascii="Calibri" w:eastAsia="Calibri" w:hAnsi="Calibri" w:cs="Calibri"/>
          <w:color w:val="000000"/>
          <w:sz w:val="22"/>
        </w:rPr>
        <w:t>REST</w:t>
      </w:r>
      <w:r>
        <w:rPr>
          <w:rFonts w:ascii="Calibri" w:eastAsia="Calibri" w:hAnsi="Calibri" w:cs="Calibri"/>
          <w:color w:val="000000"/>
          <w:sz w:val="22"/>
        </w:rPr>
        <w:t xml:space="preserve"> endpoints</w:t>
      </w:r>
      <w:r w:rsidR="00E00F13">
        <w:rPr>
          <w:rFonts w:ascii="Calibri" w:eastAsia="Calibri" w:hAnsi="Calibri" w:cs="Calibri"/>
          <w:color w:val="000000"/>
          <w:sz w:val="22"/>
        </w:rPr>
        <w:t>)</w:t>
      </w:r>
      <w:r>
        <w:rPr>
          <w:rFonts w:ascii="Calibri" w:eastAsia="Calibri" w:hAnsi="Calibri" w:cs="Calibri"/>
          <w:color w:val="000000"/>
          <w:sz w:val="22"/>
        </w:rPr>
        <w:t xml:space="preserve"> and governance rules </w:t>
      </w:r>
      <w:r w:rsidR="00E00F13">
        <w:rPr>
          <w:rFonts w:ascii="Calibri" w:eastAsia="Calibri" w:hAnsi="Calibri" w:cs="Calibri"/>
          <w:color w:val="000000"/>
          <w:sz w:val="22"/>
        </w:rPr>
        <w:t>(</w:t>
      </w:r>
      <w:r>
        <w:rPr>
          <w:rFonts w:ascii="Calibri" w:eastAsia="Calibri" w:hAnsi="Calibri" w:cs="Calibri"/>
          <w:color w:val="000000"/>
          <w:sz w:val="22"/>
        </w:rPr>
        <w:t>such as GDPR compliance</w:t>
      </w:r>
      <w:r w:rsidR="00E00F13">
        <w:rPr>
          <w:rFonts w:ascii="Calibri" w:eastAsia="Calibri" w:hAnsi="Calibri" w:cs="Calibri"/>
          <w:color w:val="000000"/>
          <w:sz w:val="22"/>
        </w:rPr>
        <w:t>)</w:t>
      </w:r>
      <w:r>
        <w:rPr>
          <w:rFonts w:ascii="Calibri" w:eastAsia="Calibri" w:hAnsi="Calibri" w:cs="Calibri"/>
          <w:color w:val="000000"/>
          <w:sz w:val="22"/>
        </w:rPr>
        <w:t xml:space="preserve"> that TPP</w:t>
      </w:r>
      <w:r w:rsidR="00E00F13">
        <w:rPr>
          <w:rFonts w:ascii="Calibri" w:eastAsia="Calibri" w:hAnsi="Calibri" w:cs="Calibri"/>
          <w:color w:val="000000"/>
          <w:sz w:val="22"/>
        </w:rPr>
        <w:t>s</w:t>
      </w:r>
      <w:r>
        <w:rPr>
          <w:rFonts w:ascii="Calibri" w:eastAsia="Calibri" w:hAnsi="Calibri" w:cs="Calibri"/>
          <w:color w:val="000000"/>
          <w:sz w:val="22"/>
        </w:rPr>
        <w:t xml:space="preserve"> must foll</w:t>
      </w:r>
      <w:r>
        <w:rPr>
          <w:rFonts w:ascii="Calibri" w:eastAsia="Calibri" w:hAnsi="Calibri" w:cs="Calibri"/>
          <w:color w:val="000000"/>
          <w:sz w:val="22"/>
        </w:rPr>
        <w:t>ow when using and reusing the DDA.</w:t>
      </w:r>
    </w:p>
    <w:p w:rsidR="00E00F13" w:rsidRPr="00E00F13" w:rsidRDefault="00033A19">
      <w:pPr>
        <w:spacing w:before="240" w:beforeAutospacing="1"/>
        <w:ind w:left="2160" w:hanging="2160"/>
        <w:rPr>
          <w:rFonts w:ascii="Calibri" w:eastAsia="Calibri" w:hAnsi="Calibri" w:cs="Calibri"/>
          <w:b/>
          <w:color w:val="000000"/>
          <w:sz w:val="22"/>
        </w:rPr>
      </w:pPr>
      <w:r w:rsidRPr="00E00F13">
        <w:rPr>
          <w:rFonts w:ascii="Calibri" w:eastAsia="Calibri" w:hAnsi="Calibri" w:cs="Calibri"/>
          <w:b/>
          <w:color w:val="000000"/>
          <w:sz w:val="22"/>
        </w:rPr>
        <w:tab/>
        <w:t>Data liquidity built via digital data assets</w:t>
      </w:r>
    </w:p>
    <w:p w:rsidR="00A77B3E" w:rsidRDefault="00033A19" w:rsidP="00E00F13">
      <w:pPr>
        <w:spacing w:before="240" w:beforeAutospacing="1"/>
        <w:ind w:left="2160"/>
        <w:rPr>
          <w:rFonts w:ascii="Calibri" w:eastAsia="Calibri" w:hAnsi="Calibri" w:cs="Calibri"/>
          <w:color w:val="000000"/>
          <w:sz w:val="22"/>
        </w:rPr>
      </w:pPr>
      <w:r>
        <w:rPr>
          <w:rFonts w:ascii="Calibri" w:eastAsia="Calibri" w:hAnsi="Calibri" w:cs="Calibri"/>
          <w:color w:val="000000"/>
          <w:sz w:val="22"/>
        </w:rPr>
        <w:t>Historically, companies have increased their data liquidity by investing in enterprise data monetization ca</w:t>
      </w:r>
      <w:r>
        <w:rPr>
          <w:rFonts w:ascii="Calibri" w:eastAsia="Calibri" w:hAnsi="Calibri" w:cs="Calibri"/>
          <w:color w:val="000000"/>
          <w:sz w:val="22"/>
        </w:rPr>
        <w:t>pabilities. Today, technological advancements, such as cloud computing,</w:t>
      </w:r>
      <w:r>
        <w:rPr>
          <w:rFonts w:ascii="Calibri" w:eastAsia="Calibri" w:hAnsi="Calibri" w:cs="Calibri"/>
          <w:color w:val="000000"/>
          <w:sz w:val="22"/>
        </w:rPr>
        <w:t xml:space="preserve"> </w:t>
      </w:r>
      <w:proofErr w:type="spellStart"/>
      <w:r>
        <w:rPr>
          <w:rFonts w:ascii="Calibri" w:eastAsia="Calibri" w:hAnsi="Calibri" w:cs="Calibri"/>
          <w:color w:val="000000"/>
          <w:sz w:val="22"/>
        </w:rPr>
        <w:t>multi</w:t>
      </w:r>
      <w:r w:rsidR="00E00F13">
        <w:rPr>
          <w:rFonts w:ascii="Calibri" w:eastAsia="Calibri" w:hAnsi="Calibri" w:cs="Calibri"/>
          <w:color w:val="000000"/>
          <w:sz w:val="22"/>
        </w:rPr>
        <w:t>cluster</w:t>
      </w:r>
      <w:proofErr w:type="spellEnd"/>
      <w:r>
        <w:rPr>
          <w:rFonts w:ascii="Calibri" w:eastAsia="Calibri" w:hAnsi="Calibri" w:cs="Calibri"/>
          <w:color w:val="000000"/>
          <w:sz w:val="22"/>
        </w:rPr>
        <w:t xml:space="preserve"> technology, API gateways</w:t>
      </w:r>
      <w:r w:rsidR="00E00F13">
        <w:rPr>
          <w:rFonts w:ascii="Calibri" w:eastAsia="Calibri" w:hAnsi="Calibri" w:cs="Calibri"/>
          <w:color w:val="000000"/>
          <w:sz w:val="22"/>
        </w:rPr>
        <w:t>,</w:t>
      </w:r>
      <w:r>
        <w:rPr>
          <w:rFonts w:ascii="Calibri" w:eastAsia="Calibri" w:hAnsi="Calibri" w:cs="Calibri"/>
          <w:color w:val="000000"/>
          <w:sz w:val="22"/>
        </w:rPr>
        <w:t xml:space="preserve"> </w:t>
      </w:r>
      <w:r w:rsidR="00E00F13">
        <w:rPr>
          <w:rFonts w:ascii="Calibri" w:eastAsia="Calibri" w:hAnsi="Calibri" w:cs="Calibri"/>
          <w:color w:val="000000"/>
          <w:sz w:val="22"/>
        </w:rPr>
        <w:t>and shared</w:t>
      </w:r>
      <w:r>
        <w:rPr>
          <w:rFonts w:ascii="Calibri" w:eastAsia="Calibri" w:hAnsi="Calibri" w:cs="Calibri"/>
          <w:color w:val="000000"/>
          <w:sz w:val="22"/>
        </w:rPr>
        <w:t xml:space="preserve"> data architectures enable liquid data at the data asset level. At the core of such technologies is the ability to scale storage, compute</w:t>
      </w:r>
      <w:r w:rsidR="00E00F13">
        <w:rPr>
          <w:rFonts w:ascii="Calibri" w:eastAsia="Calibri" w:hAnsi="Calibri" w:cs="Calibri"/>
          <w:color w:val="000000"/>
          <w:sz w:val="22"/>
        </w:rPr>
        <w:t>,</w:t>
      </w:r>
      <w:r>
        <w:rPr>
          <w:rFonts w:ascii="Calibri" w:eastAsia="Calibri" w:hAnsi="Calibri" w:cs="Calibri"/>
          <w:color w:val="000000"/>
          <w:sz w:val="22"/>
        </w:rPr>
        <w:t xml:space="preserve"> an</w:t>
      </w:r>
      <w:r>
        <w:rPr>
          <w:rFonts w:ascii="Calibri" w:eastAsia="Calibri" w:hAnsi="Calibri" w:cs="Calibri"/>
          <w:color w:val="000000"/>
          <w:sz w:val="22"/>
        </w:rPr>
        <w:t xml:space="preserve">d service layers both </w:t>
      </w:r>
      <w:r>
        <w:rPr>
          <w:rFonts w:ascii="Calibri" w:eastAsia="Calibri" w:hAnsi="Calibri" w:cs="Calibri"/>
          <w:color w:val="000000"/>
          <w:sz w:val="22"/>
        </w:rPr>
        <w:lastRenderedPageBreak/>
        <w:t>independently and interdependently, as opposed to traditional data management technologies that have fixed compute and storage resources. Such breakthroughs are central enablers of data liquidity.</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theoretical work </w:t>
      </w:r>
      <w:r w:rsidR="00E00F13">
        <w:rPr>
          <w:rFonts w:ascii="Calibri" w:eastAsia="Calibri" w:hAnsi="Calibri" w:cs="Calibri"/>
          <w:color w:val="000000"/>
          <w:sz w:val="22"/>
        </w:rPr>
        <w:t>and</w:t>
      </w:r>
      <w:r>
        <w:rPr>
          <w:rFonts w:ascii="Calibri" w:eastAsia="Calibri" w:hAnsi="Calibri" w:cs="Calibri"/>
          <w:color w:val="000000"/>
          <w:sz w:val="22"/>
        </w:rPr>
        <w:t xml:space="preserve"> early observations suggest that digital data assets unlock unprecedented levels of data liquidity. Before engaging in DDA creation, however, companies need to be clear about how they will monetize the </w:t>
      </w:r>
      <w:r>
        <w:rPr>
          <w:rFonts w:ascii="Calibri" w:eastAsia="Calibri" w:hAnsi="Calibri" w:cs="Calibri"/>
          <w:color w:val="000000"/>
          <w:sz w:val="22"/>
        </w:rPr>
        <w:t>data and how they intend to capture value from associated monetization activities. One option is to expose DDAs for internal use before unleashing them externally. For example, before exposing DDAs for external consumption. Banco Bilbao Vizcaya Argentaria,</w:t>
      </w:r>
      <w:r>
        <w:rPr>
          <w:rFonts w:ascii="Calibri" w:eastAsia="Calibri" w:hAnsi="Calibri" w:cs="Calibri"/>
          <w:color w:val="000000"/>
          <w:sz w:val="22"/>
        </w:rPr>
        <w:t xml:space="preserve"> commonly known as BBVA, experimented years ahead of the introduction of PSD2 with configuring data assets for internal consumption. This approach has the dual advantages of ensuring that a data asset can be manipulated without requiring manual or </w:t>
      </w:r>
      <w:r w:rsidR="00E00F13">
        <w:rPr>
          <w:rFonts w:ascii="Calibri" w:eastAsia="Calibri" w:hAnsi="Calibri" w:cs="Calibri"/>
          <w:color w:val="000000"/>
          <w:sz w:val="22"/>
        </w:rPr>
        <w:t>ad hoc</w:t>
      </w:r>
      <w:r>
        <w:rPr>
          <w:rFonts w:ascii="Calibri" w:eastAsia="Calibri" w:hAnsi="Calibri" w:cs="Calibri"/>
          <w:color w:val="000000"/>
          <w:sz w:val="22"/>
        </w:rPr>
        <w:t xml:space="preserve"> co</w:t>
      </w:r>
      <w:r>
        <w:rPr>
          <w:rFonts w:ascii="Calibri" w:eastAsia="Calibri" w:hAnsi="Calibri" w:cs="Calibri"/>
          <w:color w:val="000000"/>
          <w:sz w:val="22"/>
        </w:rPr>
        <w:t>ordination</w:t>
      </w:r>
      <w:r>
        <w:rPr>
          <w:rFonts w:ascii="Calibri" w:eastAsia="Calibri" w:hAnsi="Calibri" w:cs="Calibri"/>
          <w:color w:val="000000"/>
          <w:sz w:val="22"/>
        </w:rPr>
        <w:t xml:space="preserve"> and that the company can capture some of the value the data asset creates. Configuring a DDA initially for internal use facilitates the identification and resolution of existing interdependencies between the data asset, other data assets</w:t>
      </w:r>
      <w:r w:rsidR="00E00F13">
        <w:rPr>
          <w:rFonts w:ascii="Calibri" w:eastAsia="Calibri" w:hAnsi="Calibri" w:cs="Calibri"/>
          <w:color w:val="000000"/>
          <w:sz w:val="22"/>
        </w:rPr>
        <w:t xml:space="preserve">, </w:t>
      </w:r>
      <w:r>
        <w:rPr>
          <w:rFonts w:ascii="Calibri" w:eastAsia="Calibri" w:hAnsi="Calibri" w:cs="Calibri"/>
          <w:color w:val="000000"/>
          <w:sz w:val="22"/>
        </w:rPr>
        <w:t>and bu</w:t>
      </w:r>
      <w:r>
        <w:rPr>
          <w:rFonts w:ascii="Calibri" w:eastAsia="Calibri" w:hAnsi="Calibri" w:cs="Calibri"/>
          <w:color w:val="000000"/>
          <w:sz w:val="22"/>
        </w:rPr>
        <w:t>siness processes</w:t>
      </w:r>
      <w:r w:rsidR="00E00F13">
        <w:rPr>
          <w:rFonts w:ascii="Calibri" w:eastAsia="Calibri" w:hAnsi="Calibri" w:cs="Calibri"/>
          <w:color w:val="000000"/>
          <w:sz w:val="22"/>
        </w:rPr>
        <w:t>. A</w:t>
      </w:r>
      <w:r>
        <w:rPr>
          <w:rFonts w:ascii="Calibri" w:eastAsia="Calibri" w:hAnsi="Calibri" w:cs="Calibri"/>
          <w:color w:val="000000"/>
          <w:sz w:val="22"/>
        </w:rPr>
        <w:t>nd a DDA use</w:t>
      </w:r>
      <w:r w:rsidR="00E00F13">
        <w:rPr>
          <w:rFonts w:ascii="Calibri" w:eastAsia="Calibri" w:hAnsi="Calibri" w:cs="Calibri"/>
          <w:color w:val="000000"/>
          <w:sz w:val="22"/>
        </w:rPr>
        <w:t>d</w:t>
      </w:r>
      <w:r>
        <w:rPr>
          <w:rFonts w:ascii="Calibri" w:eastAsia="Calibri" w:hAnsi="Calibri" w:cs="Calibri"/>
          <w:color w:val="000000"/>
          <w:sz w:val="22"/>
        </w:rPr>
        <w:t xml:space="preserve"> internally permits full visibility of the data asset</w:t>
      </w:r>
      <w:r w:rsidR="00E00F13">
        <w:rPr>
          <w:rFonts w:ascii="Calibri" w:eastAsia="Calibri" w:hAnsi="Calibri" w:cs="Calibri"/>
          <w:color w:val="000000"/>
          <w:sz w:val="22"/>
        </w:rPr>
        <w:t>’</w:t>
      </w:r>
      <w:r>
        <w:rPr>
          <w:rFonts w:ascii="Calibri" w:eastAsia="Calibri" w:hAnsi="Calibri" w:cs="Calibri"/>
          <w:color w:val="000000"/>
          <w:sz w:val="22"/>
        </w:rPr>
        <w:t>s</w:t>
      </w:r>
      <w:r>
        <w:rPr>
          <w:rFonts w:ascii="Calibri" w:eastAsia="Calibri" w:hAnsi="Calibri" w:cs="Calibri"/>
          <w:color w:val="000000"/>
          <w:sz w:val="22"/>
        </w:rPr>
        <w:t xml:space="preserve"> reuse and recombination potential by way of comprehensive performance metrics that monitor internal initiatives.</w:t>
      </w:r>
    </w:p>
    <w:p w:rsidR="00A77B3E" w:rsidRDefault="00033A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Thanks for listening to this reading of MIT CISR research and thanks to the sponsors and patrons who support our work. Get free access to more research on our website at cisr.mit.edu.</w:t>
      </w:r>
    </w:p>
    <w:p w:rsidR="00A77B3E" w:rsidRDefault="00A77B3E">
      <w:pPr>
        <w:spacing w:before="240" w:beforeAutospacing="1"/>
        <w:ind w:left="2160" w:hanging="2160"/>
        <w:rPr>
          <w:rFonts w:ascii="Calibri" w:eastAsia="Calibri" w:hAnsi="Calibri" w:cs="Calibri"/>
          <w:color w:val="000000"/>
          <w:sz w:val="22"/>
        </w:rPr>
      </w:pPr>
      <w:bookmarkStart w:id="0" w:name="_GoBack"/>
      <w:bookmarkEnd w:id="0"/>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A19" w:rsidRDefault="00033A19">
      <w:r>
        <w:separator/>
      </w:r>
    </w:p>
  </w:endnote>
  <w:endnote w:type="continuationSeparator" w:id="0">
    <w:p w:rsidR="00033A19" w:rsidRDefault="0003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A19" w:rsidRDefault="00033A19">
      <w:r>
        <w:separator/>
      </w:r>
    </w:p>
  </w:footnote>
  <w:footnote w:type="continuationSeparator" w:id="0">
    <w:p w:rsidR="00033A19" w:rsidRDefault="0003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3A19"/>
    <w:rsid w:val="00430520"/>
    <w:rsid w:val="00697DD1"/>
    <w:rsid w:val="00A77B3E"/>
    <w:rsid w:val="00AC56BB"/>
    <w:rsid w:val="00CA2A55"/>
    <w:rsid w:val="00E0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B61024"/>
  <w15:docId w15:val="{D08EAD00-5346-E046-BC74-5BC23292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DD1"/>
    <w:pPr>
      <w:tabs>
        <w:tab w:val="center" w:pos="4680"/>
        <w:tab w:val="right" w:pos="9360"/>
      </w:tabs>
    </w:pPr>
  </w:style>
  <w:style w:type="character" w:customStyle="1" w:styleId="HeaderChar">
    <w:name w:val="Header Char"/>
    <w:basedOn w:val="DefaultParagraphFont"/>
    <w:link w:val="Header"/>
    <w:rsid w:val="00697DD1"/>
    <w:rPr>
      <w:sz w:val="24"/>
      <w:szCs w:val="24"/>
    </w:rPr>
  </w:style>
  <w:style w:type="paragraph" w:styleId="Footer">
    <w:name w:val="footer"/>
    <w:basedOn w:val="Normal"/>
    <w:link w:val="FooterChar"/>
    <w:unhideWhenUsed/>
    <w:rsid w:val="00697DD1"/>
    <w:pPr>
      <w:tabs>
        <w:tab w:val="center" w:pos="4680"/>
        <w:tab w:val="right" w:pos="9360"/>
      </w:tabs>
    </w:pPr>
  </w:style>
  <w:style w:type="character" w:customStyle="1" w:styleId="FooterChar">
    <w:name w:val="Footer Char"/>
    <w:basedOn w:val="DefaultParagraphFont"/>
    <w:link w:val="Footer"/>
    <w:rsid w:val="00697D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2</cp:revision>
  <dcterms:created xsi:type="dcterms:W3CDTF">2021-11-18T12:37:00Z</dcterms:created>
  <dcterms:modified xsi:type="dcterms:W3CDTF">2021-11-18T13:01:00Z</dcterms:modified>
</cp:coreProperties>
</file>