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FDBA" w14:textId="77777777" w:rsidR="00A02124" w:rsidRDefault="00A02124" w:rsidP="00A02124">
      <w:pPr>
        <w:spacing w:after="120" w:line="240" w:lineRule="auto"/>
      </w:pPr>
      <w:r w:rsidRPr="00A02124">
        <w:t>Speaker 1:</w:t>
      </w:r>
      <w:r w:rsidRPr="00A02124">
        <w:tab/>
        <w:t>Welcome to the MIT CISR Research Briefing series. The center for information systems research is based at the Sloan School of Management at MIT. We study digital transformation.</w:t>
      </w:r>
    </w:p>
    <w:p w14:paraId="5A7F1516" w14:textId="2944EBF0" w:rsidR="003A355C" w:rsidRPr="00A02124" w:rsidRDefault="00A02124" w:rsidP="00A02124">
      <w:pPr>
        <w:spacing w:after="120" w:line="240" w:lineRule="auto"/>
      </w:pPr>
      <w:r w:rsidRPr="00A02124">
        <w:t>Nick van der Meulen</w:t>
      </w:r>
      <w:r w:rsidRPr="00A02124">
        <w:t xml:space="preserve"> </w:t>
      </w:r>
      <w:r>
        <w:t xml:space="preserve">: </w:t>
      </w:r>
      <w:r w:rsidR="003A355C" w:rsidRPr="00A02124">
        <w:t xml:space="preserve">Hi, I’m Nick van der Meulen, a research scientist with MIT CISR. Today I’m pleased to share with you the April 2024 research briefing that I co-authored with </w:t>
      </w:r>
      <w:proofErr w:type="spellStart"/>
      <w:r w:rsidR="003A355C" w:rsidRPr="00A02124">
        <w:t>Olgerta</w:t>
      </w:r>
      <w:proofErr w:type="spellEnd"/>
      <w:r w:rsidR="003A355C" w:rsidRPr="00A02124">
        <w:t xml:space="preserve"> </w:t>
      </w:r>
      <w:proofErr w:type="spellStart"/>
      <w:r w:rsidR="003A355C" w:rsidRPr="00A02124">
        <w:t>Tona</w:t>
      </w:r>
      <w:proofErr w:type="spellEnd"/>
      <w:r w:rsidR="003A355C" w:rsidRPr="00A02124">
        <w:t xml:space="preserve"> and Dorothy </w:t>
      </w:r>
      <w:proofErr w:type="spellStart"/>
      <w:r w:rsidR="003A355C" w:rsidRPr="00A02124">
        <w:t>Leidner</w:t>
      </w:r>
      <w:proofErr w:type="spellEnd"/>
      <w:r w:rsidR="003A355C" w:rsidRPr="00A02124">
        <w:t>—</w:t>
      </w:r>
    </w:p>
    <w:p w14:paraId="33C9218F" w14:textId="5A93B999" w:rsidR="00363B9B" w:rsidRPr="00A02124" w:rsidRDefault="00776554" w:rsidP="00A02124">
      <w:pPr>
        <w:spacing w:after="120" w:line="240" w:lineRule="auto"/>
      </w:pPr>
      <w:r w:rsidRPr="00A02124">
        <w:t>Resolving Workforce Skills Gaps with AI-Powered Insights</w:t>
      </w:r>
    </w:p>
    <w:p w14:paraId="46193069" w14:textId="189754AE" w:rsidR="00363B9B" w:rsidRPr="00A02124" w:rsidRDefault="00776554" w:rsidP="00A02124">
      <w:pPr>
        <w:spacing w:after="120" w:line="240" w:lineRule="auto"/>
      </w:pPr>
      <w:r w:rsidRPr="00A02124">
        <w:t xml:space="preserve">Digital transformation is a continuous journey, with new technologies emerging on an ongoing basis. Yet for organizations to harness these technologies, their workforce needs to develop an increasingly expanding </w:t>
      </w:r>
      <w:r w:rsidR="00696D72" w:rsidRPr="00A02124">
        <w:t xml:space="preserve">variety </w:t>
      </w:r>
      <w:r w:rsidRPr="00A02124">
        <w:t xml:space="preserve">of skills. Many organizations struggle here: leaders responding to a 2022 MIT CISR survey estimated that </w:t>
      </w:r>
      <w:r w:rsidR="00696D72" w:rsidRPr="00A02124">
        <w:t xml:space="preserve">on </w:t>
      </w:r>
      <w:r w:rsidRPr="00A02124">
        <w:t>average 38 percent of their organization’s workforce required fundamental retraining or replacement within three years to address</w:t>
      </w:r>
      <w:r w:rsidR="00696D72" w:rsidRPr="00A02124">
        <w:t xml:space="preserve"> </w:t>
      </w:r>
      <w:r w:rsidR="00B259E4" w:rsidRPr="00A02124">
        <w:t>workforce</w:t>
      </w:r>
      <w:r w:rsidRPr="00A02124">
        <w:t xml:space="preserve"> skills gaps.</w:t>
      </w:r>
    </w:p>
    <w:p w14:paraId="4F63053C" w14:textId="77777777" w:rsidR="00363B9B" w:rsidRPr="00A02124" w:rsidRDefault="00776554" w:rsidP="00A02124">
      <w:pPr>
        <w:spacing w:after="120" w:line="240" w:lineRule="auto"/>
      </w:pPr>
      <w:r w:rsidRPr="00A02124">
        <w:t>To make evidence-based decisions on how to best resolve such skills gaps, however, organizations first need to move beyond estimates. What’s required is precise insight into their workforce’s current skills and how proficiency in these skills differs from that needed for future success. Functional competency models often fall short in this regard, as they need to be validated for each job and thus can’t keep pace with rapid technological change. Relying on employee or manager feedback from interviews and surveys may lead to inaccuracies because of inherent biases. And active assessment of an entire workforce across a wide range of skills is both impractical and costly.</w:t>
      </w:r>
    </w:p>
    <w:p w14:paraId="24CCA784" w14:textId="4CBC9AE1" w:rsidR="00363B9B" w:rsidRPr="00A02124" w:rsidRDefault="00776554" w:rsidP="00A02124">
      <w:pPr>
        <w:spacing w:after="120" w:line="240" w:lineRule="auto"/>
      </w:pPr>
      <w:r w:rsidRPr="00A02124">
        <w:t xml:space="preserve">Artificial intelligence (AI) offers a new and scalable alternative </w:t>
      </w:r>
      <w:r w:rsidR="00696D72" w:rsidRPr="00A02124">
        <w:t xml:space="preserve">to such approaches </w:t>
      </w:r>
      <w:r w:rsidRPr="00A02124">
        <w:t>by enabling skills inference</w:t>
      </w:r>
      <w:r w:rsidR="00696D72" w:rsidRPr="00A02124">
        <w:t xml:space="preserve">, </w:t>
      </w:r>
      <w:r w:rsidR="008D7200" w:rsidRPr="00A02124">
        <w:t xml:space="preserve">which we define as </w:t>
      </w:r>
      <w:r w:rsidRPr="00A02124">
        <w:t>the process of analyzing employee data to quantify skills proficiency. This allows for detailed insight into workforce skills gaps, which can</w:t>
      </w:r>
      <w:r w:rsidR="00696D72" w:rsidRPr="00A02124">
        <w:t>,</w:t>
      </w:r>
      <w:r w:rsidRPr="00A02124">
        <w:t xml:space="preserve"> for instance</w:t>
      </w:r>
      <w:r w:rsidR="00696D72" w:rsidRPr="00A02124">
        <w:t>,</w:t>
      </w:r>
      <w:r w:rsidRPr="00A02124">
        <w:t xml:space="preserve"> be broken down by line of business and geography. In this briefing we explore the AI-powered skills inference </w:t>
      </w:r>
      <w:r w:rsidR="00EA7A1B" w:rsidRPr="00A02124">
        <w:t>process</w:t>
      </w:r>
      <w:r w:rsidR="00696D72" w:rsidRPr="00A02124">
        <w:t>,</w:t>
      </w:r>
      <w:r w:rsidR="00EA7A1B" w:rsidRPr="00A02124">
        <w:t xml:space="preserve"> and</w:t>
      </w:r>
      <w:r w:rsidRPr="00A02124">
        <w:t xml:space="preserve"> illustrate how resulting insights can help resolve workforce skills gaps by drawing on lessons learned from a case study of global healthcare company Johnson &amp; Johnson (J&amp;J). </w:t>
      </w:r>
    </w:p>
    <w:p w14:paraId="5A4328D3" w14:textId="77777777" w:rsidR="00363B9B" w:rsidRPr="00A02124" w:rsidRDefault="00776554" w:rsidP="00A02124">
      <w:pPr>
        <w:spacing w:after="120" w:line="240" w:lineRule="auto"/>
      </w:pPr>
      <w:r w:rsidRPr="00A02124">
        <w:t>Digital Talent Transformation at J&amp;J</w:t>
      </w:r>
    </w:p>
    <w:p w14:paraId="5D82177E" w14:textId="00984CCA" w:rsidR="00363B9B" w:rsidRPr="00A02124" w:rsidRDefault="00776554" w:rsidP="00A02124">
      <w:pPr>
        <w:spacing w:after="120" w:line="240" w:lineRule="auto"/>
      </w:pPr>
      <w:r w:rsidRPr="00A02124">
        <w:t xml:space="preserve">J&amp;J’s mission is to </w:t>
      </w:r>
      <w:r w:rsidR="00A52881" w:rsidRPr="00A02124">
        <w:t>profoundly impact health for humanity</w:t>
      </w:r>
      <w:r w:rsidRPr="00A02124">
        <w:t xml:space="preserve">. As </w:t>
      </w:r>
      <w:r w:rsidR="00A52881" w:rsidRPr="00A02124">
        <w:t xml:space="preserve">the </w:t>
      </w:r>
      <w:r w:rsidRPr="00A02124">
        <w:t xml:space="preserve">trajectory </w:t>
      </w:r>
      <w:r w:rsidR="00A52881" w:rsidRPr="00A02124">
        <w:t xml:space="preserve">of health and wellbeing </w:t>
      </w:r>
      <w:r w:rsidRPr="00A02124">
        <w:t xml:space="preserve">is increasingly determined by emerging technology and a growth in data and computing power, J&amp;J’s Technology group has become a cornerstone for the organization’s future success. </w:t>
      </w:r>
      <w:r w:rsidR="00A52881" w:rsidRPr="00A02124">
        <w:t>It</w:t>
      </w:r>
      <w:r w:rsidRPr="00A02124">
        <w:t xml:space="preserve"> drives technological innovation </w:t>
      </w:r>
      <w:r w:rsidR="00696D72" w:rsidRPr="00A02124">
        <w:t xml:space="preserve">at J&amp;J </w:t>
      </w:r>
      <w:r w:rsidRPr="00A02124">
        <w:t xml:space="preserve">and modernizes </w:t>
      </w:r>
      <w:r w:rsidR="00696D72" w:rsidRPr="00A02124">
        <w:t>the organization’</w:t>
      </w:r>
      <w:r w:rsidRPr="00A02124">
        <w:t xml:space="preserve">s tech ecosystem. More importantly, however, </w:t>
      </w:r>
      <w:r w:rsidR="00A52881" w:rsidRPr="00A02124">
        <w:t xml:space="preserve">the Technology group </w:t>
      </w:r>
      <w:r w:rsidR="00696D72" w:rsidRPr="00A02124">
        <w:t xml:space="preserve">is enabling </w:t>
      </w:r>
      <w:r w:rsidRPr="00A02124">
        <w:t xml:space="preserve">J&amp;J </w:t>
      </w:r>
      <w:r w:rsidR="00696D72" w:rsidRPr="00A02124">
        <w:t xml:space="preserve">to evolve as </w:t>
      </w:r>
      <w:r w:rsidRPr="00A02124">
        <w:t>a digital organization by helping to develop the digital acumen of its global workforce of over 1</w:t>
      </w:r>
      <w:r w:rsidR="00A52881" w:rsidRPr="00A02124">
        <w:t>3</w:t>
      </w:r>
      <w:r w:rsidRPr="00A02124">
        <w:t>0,000 employees.</w:t>
      </w:r>
    </w:p>
    <w:p w14:paraId="62CC2BBE" w14:textId="12419CF8" w:rsidR="00363B9B" w:rsidRPr="00A02124" w:rsidRDefault="00B9474D" w:rsidP="00A02124">
      <w:pPr>
        <w:spacing w:after="120" w:line="240" w:lineRule="auto"/>
      </w:pPr>
      <w:r w:rsidRPr="00A02124">
        <w:t>As Jim Swanson, Executive Vice President and Chief Information Officer at J&amp;J, observed, “</w:t>
      </w:r>
      <w:r w:rsidR="00776554" w:rsidRPr="00A02124">
        <w:t>To build a digital organization, you’ve got to take people’s amazing talents and create an “and” strategy for technology. To be relevant and future ready, you for instance need to have your commercial expertise and digital expertise. Scientific expertise and digital. You can have the best technology, but without that integrated way of thinking, it won’t transform anything.</w:t>
      </w:r>
      <w:r w:rsidRPr="00A02124">
        <w:t>”</w:t>
      </w:r>
    </w:p>
    <w:p w14:paraId="4DB6F23D" w14:textId="30EA200D" w:rsidR="00363B9B" w:rsidRPr="00A02124" w:rsidRDefault="00776554" w:rsidP="00A02124">
      <w:pPr>
        <w:spacing w:after="120" w:line="240" w:lineRule="auto"/>
      </w:pPr>
      <w:r w:rsidRPr="00A02124">
        <w:lastRenderedPageBreak/>
        <w:t xml:space="preserve">In early 2020, </w:t>
      </w:r>
      <w:r w:rsidR="00A52881" w:rsidRPr="00A02124">
        <w:t xml:space="preserve">J&amp;J’s Technology group </w:t>
      </w:r>
      <w:r w:rsidRPr="00A02124">
        <w:t xml:space="preserve">began its journey of building </w:t>
      </w:r>
      <w:r w:rsidR="00A52881" w:rsidRPr="00A02124">
        <w:t>the organization’s</w:t>
      </w:r>
      <w:r w:rsidRPr="00A02124">
        <w:t xml:space="preserve"> digital acumen with the help of AI-powered skills inference, starting with its own workforce of 4,000 technologists. By the time the group introduced skills inference to other parts of J&amp;J in 2021, </w:t>
      </w:r>
      <w:r w:rsidR="00696D72" w:rsidRPr="00A02124">
        <w:t xml:space="preserve">it </w:t>
      </w:r>
      <w:r w:rsidRPr="00A02124">
        <w:t xml:space="preserve">had successfully put in place a three-step process. First, </w:t>
      </w:r>
      <w:r w:rsidR="00A52881" w:rsidRPr="00A02124">
        <w:t xml:space="preserve">it </w:t>
      </w:r>
      <w:r w:rsidRPr="00A02124">
        <w:t>created a skills taxonomy</w:t>
      </w:r>
      <w:r w:rsidR="00696D72" w:rsidRPr="00A02124">
        <w:t>,</w:t>
      </w:r>
      <w:r w:rsidRPr="00A02124">
        <w:t xml:space="preserve"> defining what skills would be required across the organization to reimagine business processes and develop future digital offerings. Second, </w:t>
      </w:r>
      <w:r w:rsidR="00696D72" w:rsidRPr="00A02124">
        <w:t xml:space="preserve">the group </w:t>
      </w:r>
      <w:r w:rsidRPr="00A02124">
        <w:t xml:space="preserve">gathered skills evidence by selecting and preparing employee data sources to analyze. And third, </w:t>
      </w:r>
      <w:r w:rsidR="00696D72" w:rsidRPr="00A02124">
        <w:t xml:space="preserve">it </w:t>
      </w:r>
      <w:r w:rsidRPr="00A02124">
        <w:t xml:space="preserve">conducted a passive skills assessment, for which </w:t>
      </w:r>
      <w:r w:rsidR="00696D72" w:rsidRPr="00A02124">
        <w:t xml:space="preserve">it </w:t>
      </w:r>
      <w:r w:rsidRPr="00A02124">
        <w:t>trained a machine learning model to measure the skills proficiencies of each employee. The result</w:t>
      </w:r>
      <w:r w:rsidR="00A52881" w:rsidRPr="00A02124">
        <w:t xml:space="preserve"> was</w:t>
      </w:r>
      <w:r w:rsidRPr="00A02124">
        <w:t xml:space="preserve"> </w:t>
      </w:r>
      <w:r w:rsidR="00A52881" w:rsidRPr="00A02124">
        <w:t>w</w:t>
      </w:r>
      <w:r w:rsidRPr="00A02124">
        <w:t>orkforce insights that guided employees’ personal development and enhanced leaders’ strategic workforce planning, both of which reduced skills gaps at J&amp;J.</w:t>
      </w:r>
    </w:p>
    <w:p w14:paraId="376114B7" w14:textId="7B49720A" w:rsidR="00EA7A1B" w:rsidRPr="00A02124" w:rsidRDefault="00EA7A1B" w:rsidP="00A02124">
      <w:pPr>
        <w:spacing w:after="120" w:line="240" w:lineRule="auto"/>
      </w:pPr>
      <w:r w:rsidRPr="00A02124">
        <w:t>Defin</w:t>
      </w:r>
      <w:r w:rsidR="002110DB" w:rsidRPr="00A02124">
        <w:t>ing</w:t>
      </w:r>
      <w:r w:rsidR="00696D72" w:rsidRPr="00A02124">
        <w:t xml:space="preserve"> </w:t>
      </w:r>
      <w:r w:rsidRPr="00A02124">
        <w:t>a Skills Taxonomy</w:t>
      </w:r>
    </w:p>
    <w:p w14:paraId="0D592DEF" w14:textId="309FB66A" w:rsidR="00363B9B" w:rsidRPr="00A02124" w:rsidRDefault="00A52881" w:rsidP="00A02124">
      <w:pPr>
        <w:spacing w:after="120" w:line="240" w:lineRule="auto"/>
      </w:pPr>
      <w:r w:rsidRPr="00A02124">
        <w:t xml:space="preserve">The journey of J&amp;J’s Technology group began with figuring out what future skills J&amp;J would need. Guided by industry benchmarks, its </w:t>
      </w:r>
      <w:r w:rsidR="00776554" w:rsidRPr="00A02124">
        <w:t xml:space="preserve">Digital </w:t>
      </w:r>
      <w:r w:rsidRPr="00A02124">
        <w:t>Talent team—a team dedicated to driving the organization’s transformation with the best and most diverse talent—examined strategic plans throughout the organization to create a J&amp;J-specific skills taxonomy</w:t>
      </w:r>
      <w:r w:rsidR="00696D72" w:rsidRPr="00A02124">
        <w:t xml:space="preserve">. This taxonomy comprised </w:t>
      </w:r>
      <w:r w:rsidRPr="00A02124">
        <w:t>a list of forty-one</w:t>
      </w:r>
      <w:r w:rsidR="00696D72" w:rsidRPr="00A02124">
        <w:t xml:space="preserve"> skills the team </w:t>
      </w:r>
      <w:r w:rsidR="00024F87" w:rsidRPr="00A02124">
        <w:t>referred to as</w:t>
      </w:r>
      <w:r w:rsidRPr="00A02124">
        <w:t xml:space="preserve"> </w:t>
      </w:r>
      <w:r w:rsidR="00696D72" w:rsidRPr="00A02124">
        <w:t>“</w:t>
      </w:r>
      <w:r w:rsidRPr="00A02124">
        <w:t>future</w:t>
      </w:r>
      <w:r w:rsidR="008D7200" w:rsidRPr="00A02124">
        <w:t xml:space="preserve"> </w:t>
      </w:r>
      <w:r w:rsidR="00696D72" w:rsidRPr="00A02124">
        <w:t xml:space="preserve">ready” </w:t>
      </w:r>
      <w:r w:rsidRPr="00A02124">
        <w:t>(</w:t>
      </w:r>
      <w:r w:rsidR="00D46D5C" w:rsidRPr="00A02124">
        <w:t>such as</w:t>
      </w:r>
      <w:r w:rsidRPr="00A02124">
        <w:t xml:space="preserve"> master data management</w:t>
      </w:r>
      <w:r w:rsidR="00D46D5C" w:rsidRPr="00A02124">
        <w:t xml:space="preserve"> and </w:t>
      </w:r>
      <w:r w:rsidRPr="00A02124">
        <w:t>robotic process automation) grouped into eleven capabilities (</w:t>
      </w:r>
      <w:r w:rsidR="00D46D5C" w:rsidRPr="00A02124">
        <w:t>like</w:t>
      </w:r>
      <w:r w:rsidRPr="00A02124">
        <w:t xml:space="preserve"> </w:t>
      </w:r>
      <w:r w:rsidR="00696D72" w:rsidRPr="00A02124">
        <w:t>“</w:t>
      </w:r>
      <w:r w:rsidRPr="00A02124">
        <w:t xml:space="preserve">Scientific &amp; Digital Health </w:t>
      </w:r>
      <w:r w:rsidR="00696D72" w:rsidRPr="00A02124">
        <w:t>Technology”</w:t>
      </w:r>
      <w:r w:rsidRPr="00A02124">
        <w:t xml:space="preserve">) that </w:t>
      </w:r>
      <w:r w:rsidR="00696D72" w:rsidRPr="00A02124">
        <w:t xml:space="preserve">would be </w:t>
      </w:r>
      <w:r w:rsidRPr="00A02124">
        <w:t xml:space="preserve">required to realize the organization’s purpose and strategic objectives. </w:t>
      </w:r>
    </w:p>
    <w:p w14:paraId="3143E3F8" w14:textId="4CBCFDD3" w:rsidR="00363B9B" w:rsidRPr="00A02124" w:rsidRDefault="00776554" w:rsidP="00A02124">
      <w:pPr>
        <w:spacing w:after="120" w:line="240" w:lineRule="auto"/>
      </w:pPr>
      <w:r w:rsidRPr="00A02124">
        <w:t xml:space="preserve">To ensure the taxonomy’s accuracy and gain broad support for it, the Digital </w:t>
      </w:r>
      <w:r w:rsidR="00A52881" w:rsidRPr="00A02124">
        <w:t xml:space="preserve">Talent </w:t>
      </w:r>
      <w:r w:rsidRPr="00A02124">
        <w:t>team asked over one hundred senior leaders from across the company to validate the list. Each indicated whether the taxonomy reflected the needs of their area of business—both at that moment and in the long term—and offered their perception of the current and required state of the listed skills. Given the diversity of J&amp;J’s operations, required proficiency levels naturally varied by functional area. For instance, employees in Innovative Medicine might need stronger capabilities in data engineering and analytics, whereas those in MedTech might need to be especially skilled in software engineering.</w:t>
      </w:r>
    </w:p>
    <w:p w14:paraId="148D7923" w14:textId="1EC9AF8B" w:rsidR="00363B9B" w:rsidRPr="00A02124" w:rsidRDefault="00776554" w:rsidP="00A02124">
      <w:pPr>
        <w:spacing w:after="120" w:line="240" w:lineRule="auto"/>
      </w:pPr>
      <w:r w:rsidRPr="00A02124">
        <w:t>Additional tailoring of the taxonomy’s skill and proficiency definitions to J&amp;J’s unique context and terminology fell to subject matter experts (</w:t>
      </w:r>
      <w:r w:rsidR="00D46D5C" w:rsidRPr="00A02124">
        <w:t xml:space="preserve">or </w:t>
      </w:r>
      <w:r w:rsidRPr="00A02124">
        <w:t>SMEs)</w:t>
      </w:r>
      <w:r w:rsidR="00696D72" w:rsidRPr="00A02124">
        <w:t>,</w:t>
      </w:r>
      <w:r w:rsidRPr="00A02124">
        <w:t xml:space="preserve"> employees known for their expertise and thought leadership in a particular future-ready skill. These SMEs crafted current, precise, and yet broadly applicable definitions that novices and experts alike could understand. The result was a skills taxonomy that clearly communicated to every employee what future-ready skills were considered top priorities for J&amp;J’s leadership. Moreover, the taxonomy specified how skills would manifest in employees’ data.</w:t>
      </w:r>
    </w:p>
    <w:p w14:paraId="126CF79A" w14:textId="0423777F" w:rsidR="00363B9B" w:rsidRPr="00A02124" w:rsidRDefault="00D13967" w:rsidP="00A02124">
      <w:pPr>
        <w:spacing w:after="120" w:line="240" w:lineRule="auto"/>
      </w:pPr>
      <w:r w:rsidRPr="00A02124">
        <w:t>Gathering Skills Evidence</w:t>
      </w:r>
    </w:p>
    <w:p w14:paraId="79639826" w14:textId="04A32DDA" w:rsidR="00363B9B" w:rsidRPr="00A02124" w:rsidRDefault="00776554" w:rsidP="00A02124">
      <w:pPr>
        <w:spacing w:after="120" w:line="240" w:lineRule="auto"/>
      </w:pPr>
      <w:r w:rsidRPr="00A02124">
        <w:t xml:space="preserve">As a machine learning algorithm can only learn from provided data, the quality of chosen data sources is key to the overall skills inference process. As such, the Digital </w:t>
      </w:r>
      <w:r w:rsidR="00A21BC5" w:rsidRPr="00A02124">
        <w:t xml:space="preserve">Talent </w:t>
      </w:r>
      <w:r w:rsidRPr="00A02124">
        <w:t>team collaborated with HR data experts to identify data sources that were used across most of the organization yet also provided enough semantic data to calculate skill proficiency</w:t>
      </w:r>
      <w:r w:rsidR="00EA1792" w:rsidRPr="00A02124">
        <w:t>,</w:t>
      </w:r>
      <w:r w:rsidRPr="00A02124">
        <w:t xml:space="preserve"> ideally </w:t>
      </w:r>
      <w:r w:rsidR="00EA1792" w:rsidRPr="00A02124">
        <w:t xml:space="preserve">providing </w:t>
      </w:r>
      <w:r w:rsidRPr="00A02124">
        <w:t xml:space="preserve">evidence for </w:t>
      </w:r>
      <w:r w:rsidR="00EA1792" w:rsidRPr="00A02124">
        <w:t xml:space="preserve">60 </w:t>
      </w:r>
      <w:r w:rsidRPr="00A02124">
        <w:t xml:space="preserve">to </w:t>
      </w:r>
      <w:r w:rsidR="00EA1792" w:rsidRPr="00A02124">
        <w:t xml:space="preserve">70 </w:t>
      </w:r>
      <w:r w:rsidRPr="00A02124">
        <w:t xml:space="preserve">percent of each employee’s skills. Four of J&amp;J’s data sources fit these criteria: </w:t>
      </w:r>
      <w:r w:rsidR="00A21BC5" w:rsidRPr="00A02124">
        <w:t xml:space="preserve">the organization’s </w:t>
      </w:r>
      <w:r w:rsidRPr="00A02124">
        <w:t xml:space="preserve">HR information system, recruiting database, </w:t>
      </w:r>
      <w:r w:rsidR="00EA1792" w:rsidRPr="00A02124">
        <w:t xml:space="preserve">and </w:t>
      </w:r>
      <w:r w:rsidRPr="00A02124">
        <w:t>learning management system, and one of its project management platforms.</w:t>
      </w:r>
    </w:p>
    <w:p w14:paraId="7CD0D566" w14:textId="018D1D22" w:rsidR="00363B9B" w:rsidRPr="00A02124" w:rsidRDefault="00776554" w:rsidP="00A02124">
      <w:pPr>
        <w:spacing w:after="120" w:line="240" w:lineRule="auto"/>
      </w:pPr>
      <w:r w:rsidRPr="00A02124">
        <w:lastRenderedPageBreak/>
        <w:t xml:space="preserve">To improve data quality, leaders encouraged employees to update the data fields </w:t>
      </w:r>
      <w:r w:rsidR="00EA1792" w:rsidRPr="00A02124">
        <w:t xml:space="preserve">in those systems that </w:t>
      </w:r>
      <w:r w:rsidRPr="00A02124">
        <w:t xml:space="preserve">the algorithm would use to infer their skill proficiency. For instance, J&amp;J’s HR information system allowed employees to showcase their experiences and accomplishments by sharing information about their job history, education, certifications, recognitions, goals, personal interests, and volunteering activities. If these fields were missing or incomplete, the algorithm could not infer from them. The Digital </w:t>
      </w:r>
      <w:r w:rsidR="00A21BC5" w:rsidRPr="00A02124">
        <w:t xml:space="preserve">Talent </w:t>
      </w:r>
      <w:r w:rsidRPr="00A02124">
        <w:t>team therefore also illustrated how employees could update their data most effectively by providing examples of rich statements that the algorithm could pick up on</w:t>
      </w:r>
      <w:r w:rsidR="00EA1792" w:rsidRPr="00A02124">
        <w:t xml:space="preserve"> in gradations of good, better, and best quality</w:t>
      </w:r>
      <w:r w:rsidRPr="00A02124">
        <w:t xml:space="preserve">. </w:t>
      </w:r>
    </w:p>
    <w:p w14:paraId="7297A3F6" w14:textId="28DA4BCD" w:rsidR="00363B9B" w:rsidRPr="00A02124" w:rsidRDefault="00776554" w:rsidP="00A02124">
      <w:pPr>
        <w:spacing w:after="120" w:line="240" w:lineRule="auto"/>
      </w:pPr>
      <w:r w:rsidRPr="00A02124">
        <w:t xml:space="preserve">For employees to </w:t>
      </w:r>
      <w:r w:rsidR="00EA1792" w:rsidRPr="00A02124">
        <w:t xml:space="preserve">be willing to </w:t>
      </w:r>
      <w:r w:rsidRPr="00A02124">
        <w:t xml:space="preserve">provide additional data for the AI to infer from, however, they first had to trust the skills inference initiative and the intended purpose of the AI model. </w:t>
      </w:r>
      <w:r w:rsidR="00A21BC5" w:rsidRPr="00A02124">
        <w:t>In accordance with J&amp;J’s commitment to the transparent use of AI</w:t>
      </w:r>
      <w:r w:rsidRPr="00A02124">
        <w:t xml:space="preserve">, the Digital </w:t>
      </w:r>
      <w:r w:rsidR="00A21BC5" w:rsidRPr="00A02124">
        <w:t xml:space="preserve">Talent </w:t>
      </w:r>
      <w:r w:rsidRPr="00A02124">
        <w:t>team and senior leaders communicated early and often with employees</w:t>
      </w:r>
      <w:r w:rsidR="00A21BC5" w:rsidRPr="00A02124">
        <w:t>—</w:t>
      </w:r>
      <w:r w:rsidRPr="00A02124">
        <w:t xml:space="preserve">both </w:t>
      </w:r>
      <w:r w:rsidR="00EA1792" w:rsidRPr="00A02124">
        <w:t xml:space="preserve">electronically and </w:t>
      </w:r>
      <w:r w:rsidRPr="00A02124">
        <w:t xml:space="preserve">in person. They explained how the skills inference process could help </w:t>
      </w:r>
      <w:r w:rsidR="00EA1792" w:rsidRPr="00A02124">
        <w:t xml:space="preserve">employees </w:t>
      </w:r>
      <w:r w:rsidRPr="00A02124">
        <w:t xml:space="preserve">identify their current skills proficiency and discover new development opportunities. They also gave them the option to opt out at any time. In addition, the Digital </w:t>
      </w:r>
      <w:r w:rsidR="00A21BC5" w:rsidRPr="00A02124">
        <w:t xml:space="preserve">Talent </w:t>
      </w:r>
      <w:r w:rsidRPr="00A02124">
        <w:t xml:space="preserve">team enhanced employee trust and engagement by establishing strict norms of acceptable data use with the help of HR data experts, multiple oversight functions at J&amp;J, and external partners. These norms safeguarded compliance, but also respected employee privacy and reduced the risk of bias by maximizing accountability, explainability, fairness, privacy, and transparency regarding the skills inference process. </w:t>
      </w:r>
    </w:p>
    <w:p w14:paraId="3E7A0296" w14:textId="30815397" w:rsidR="00363B9B" w:rsidRPr="00A02124" w:rsidRDefault="00D13967" w:rsidP="00A02124">
      <w:pPr>
        <w:spacing w:after="120" w:line="240" w:lineRule="auto"/>
      </w:pPr>
      <w:r w:rsidRPr="00A02124">
        <w:t>Conducting a Skills Assessment</w:t>
      </w:r>
    </w:p>
    <w:p w14:paraId="69C215D2" w14:textId="4C057301" w:rsidR="00363B9B" w:rsidRPr="00A02124" w:rsidRDefault="00776554" w:rsidP="00A02124">
      <w:pPr>
        <w:spacing w:after="120" w:line="240" w:lineRule="auto"/>
      </w:pPr>
      <w:r w:rsidRPr="00A02124">
        <w:t xml:space="preserve">To measure employees’ skills proficiency, the Digital </w:t>
      </w:r>
      <w:r w:rsidR="00A21BC5" w:rsidRPr="00A02124">
        <w:t xml:space="preserve">Talent </w:t>
      </w:r>
      <w:r w:rsidRPr="00A02124">
        <w:t>team relied on a proven machine learning model augmented by human input. An experienced solution provider supported the team and provided the model, which used natural language processing to generate proficiency scores for each of the forty-one future-ready skills in J&amp;J’s taxonomy.</w:t>
      </w:r>
      <w:r w:rsidR="00A21BC5" w:rsidRPr="00A02124">
        <w:t xml:space="preserve"> </w:t>
      </w:r>
      <w:r w:rsidRPr="00A02124">
        <w:t>These scores ranged from zero (no skill detected) to five (thought leadership)</w:t>
      </w:r>
      <w:r w:rsidR="00947A5B" w:rsidRPr="00A02124">
        <w:t>.</w:t>
      </w:r>
    </w:p>
    <w:p w14:paraId="55CC179E" w14:textId="7131C180" w:rsidR="00363B9B" w:rsidRPr="00A02124" w:rsidRDefault="00776554" w:rsidP="00A02124">
      <w:pPr>
        <w:spacing w:after="120" w:line="240" w:lineRule="auto"/>
      </w:pPr>
      <w:r w:rsidRPr="00A02124">
        <w:t xml:space="preserve">To improve the accuracy and reliability of the inferred scores, the Digital </w:t>
      </w:r>
      <w:r w:rsidR="00A21BC5" w:rsidRPr="00A02124">
        <w:t xml:space="preserve">Talent </w:t>
      </w:r>
      <w:r w:rsidRPr="00A02124">
        <w:t xml:space="preserve">team asked employees to </w:t>
      </w:r>
      <w:r w:rsidR="00052F10" w:rsidRPr="00A02124">
        <w:t>self-assess</w:t>
      </w:r>
      <w:r w:rsidRPr="00A02124">
        <w:t xml:space="preserve"> their skills proficiency and </w:t>
      </w:r>
      <w:r w:rsidR="00052F10" w:rsidRPr="00A02124">
        <w:t xml:space="preserve">managers to evaluate that of </w:t>
      </w:r>
      <w:r w:rsidRPr="00A02124">
        <w:t xml:space="preserve">their direct reports. To avoid bias, the </w:t>
      </w:r>
      <w:r w:rsidR="00A21BC5" w:rsidRPr="00A02124">
        <w:t>solution</w:t>
      </w:r>
      <w:r w:rsidRPr="00A02124">
        <w:t xml:space="preserve"> showed the </w:t>
      </w:r>
      <w:r w:rsidR="00052F10" w:rsidRPr="00A02124">
        <w:t xml:space="preserve">proficiency scores </w:t>
      </w:r>
      <w:r w:rsidRPr="00A02124">
        <w:t xml:space="preserve">inferred by the AI only after the participants </w:t>
      </w:r>
      <w:r w:rsidR="00052F10" w:rsidRPr="00A02124">
        <w:t>submitted their</w:t>
      </w:r>
      <w:r w:rsidRPr="00A02124">
        <w:t xml:space="preserve"> perce</w:t>
      </w:r>
      <w:r w:rsidR="00052F10" w:rsidRPr="00A02124">
        <w:t>ptions of</w:t>
      </w:r>
      <w:r w:rsidRPr="00A02124">
        <w:t xml:space="preserve"> </w:t>
      </w:r>
      <w:r w:rsidR="00052F10" w:rsidRPr="00A02124">
        <w:t>proficiency levels</w:t>
      </w:r>
      <w:r w:rsidRPr="00A02124">
        <w:t xml:space="preserve">. With this input, the model generated an </w:t>
      </w:r>
      <w:r w:rsidR="00D522B1" w:rsidRPr="00A02124">
        <w:t>“</w:t>
      </w:r>
      <w:r w:rsidRPr="00A02124">
        <w:t xml:space="preserve">agreement </w:t>
      </w:r>
      <w:r w:rsidR="00D522B1" w:rsidRPr="00A02124">
        <w:t xml:space="preserve">score” that </w:t>
      </w:r>
      <w:r w:rsidRPr="00A02124">
        <w:t xml:space="preserve">quantified the consistency between the perceived </w:t>
      </w:r>
      <w:r w:rsidR="00052F10" w:rsidRPr="00A02124">
        <w:t xml:space="preserve">levels </w:t>
      </w:r>
      <w:r w:rsidRPr="00A02124">
        <w:t xml:space="preserve">and inferred scores. The goal was not to achieve perfect agreement, but rather directional accuracy: the Digital </w:t>
      </w:r>
      <w:r w:rsidR="00A21BC5" w:rsidRPr="00A02124">
        <w:t xml:space="preserve">Talent </w:t>
      </w:r>
      <w:r w:rsidRPr="00A02124">
        <w:t xml:space="preserve">team considered the inferred scores usable if they deviated by at most one point (out of five) from the perceived </w:t>
      </w:r>
      <w:r w:rsidR="00052F10" w:rsidRPr="00A02124">
        <w:t>proficiency levels</w:t>
      </w:r>
      <w:r w:rsidRPr="00A02124">
        <w:t xml:space="preserve">. </w:t>
      </w:r>
    </w:p>
    <w:p w14:paraId="11B2EBAE" w14:textId="77777777" w:rsidR="00363B9B" w:rsidRPr="00A02124" w:rsidRDefault="00776554" w:rsidP="00A02124">
      <w:pPr>
        <w:spacing w:after="120" w:line="240" w:lineRule="auto"/>
      </w:pPr>
      <w:r w:rsidRPr="00A02124">
        <w:t>Limit Use Cases for Workforce Insights</w:t>
      </w:r>
    </w:p>
    <w:p w14:paraId="18083F8A" w14:textId="3A79EA93" w:rsidR="00363B9B" w:rsidRPr="00A02124" w:rsidRDefault="00776554" w:rsidP="00A02124">
      <w:pPr>
        <w:spacing w:after="120" w:line="240" w:lineRule="auto"/>
      </w:pPr>
      <w:r w:rsidRPr="00A02124">
        <w:t xml:space="preserve">Skill proficiency data has many potential uses. Yet, for employees to trust the skills inference process and not opt out </w:t>
      </w:r>
      <w:r w:rsidR="00D522B1" w:rsidRPr="00A02124">
        <w:t xml:space="preserve">of it </w:t>
      </w:r>
      <w:r w:rsidRPr="00A02124">
        <w:t xml:space="preserve">or otherwise skew the data, it is important to limit </w:t>
      </w:r>
      <w:r w:rsidR="00DC21B5" w:rsidRPr="00A02124">
        <w:t>what this data is used for</w:t>
      </w:r>
      <w:r w:rsidRPr="00A02124">
        <w:t>. J&amp;J</w:t>
      </w:r>
      <w:r w:rsidR="00A21BC5" w:rsidRPr="00A02124">
        <w:t xml:space="preserve"> therefore only used </w:t>
      </w:r>
      <w:r w:rsidRPr="00A02124">
        <w:t xml:space="preserve">skills inference </w:t>
      </w:r>
      <w:r w:rsidR="00A21BC5" w:rsidRPr="00A02124">
        <w:t>to</w:t>
      </w:r>
      <w:r w:rsidRPr="00A02124">
        <w:t xml:space="preserve"> provide more personalized career development journeys for employees, and (at an aggregate level) </w:t>
      </w:r>
      <w:r w:rsidR="00A21BC5" w:rsidRPr="00A02124">
        <w:t xml:space="preserve">to </w:t>
      </w:r>
      <w:r w:rsidRPr="00A02124">
        <w:t xml:space="preserve">support leaders’ strategic workforce planning efforts. </w:t>
      </w:r>
      <w:r w:rsidR="00A21BC5" w:rsidRPr="00A02124">
        <w:t>Other use cases were not permitted by J&amp;J’s Privacy function.</w:t>
      </w:r>
    </w:p>
    <w:p w14:paraId="0F7A55FF" w14:textId="04D6B80E" w:rsidR="00363B9B" w:rsidRPr="00A02124" w:rsidRDefault="00776554" w:rsidP="00A02124">
      <w:pPr>
        <w:spacing w:after="120" w:line="240" w:lineRule="auto"/>
      </w:pPr>
      <w:r w:rsidRPr="00A02124">
        <w:t>With a detailed understanding of their skill</w:t>
      </w:r>
      <w:r w:rsidR="00B259E4" w:rsidRPr="00A02124">
        <w:t>s</w:t>
      </w:r>
      <w:r w:rsidRPr="00A02124">
        <w:t xml:space="preserve"> </w:t>
      </w:r>
      <w:r w:rsidR="00B259E4" w:rsidRPr="00A02124">
        <w:t>proficiency</w:t>
      </w:r>
      <w:r w:rsidRPr="00A02124">
        <w:t xml:space="preserve">, employees could chart personalized career paths, supported by learning and development opportunities uniquely tailored to their </w:t>
      </w:r>
      <w:r w:rsidRPr="00A02124">
        <w:lastRenderedPageBreak/>
        <w:t xml:space="preserve">skill proficiency levels. After the first round of skills inference, J&amp;J saw a </w:t>
      </w:r>
      <w:r w:rsidR="00D522B1" w:rsidRPr="00A02124">
        <w:t xml:space="preserve">20 </w:t>
      </w:r>
      <w:r w:rsidRPr="00A02124">
        <w:t>percent uptick in participants’ voluntary learning activities. These</w:t>
      </w:r>
      <w:r w:rsidR="00812529" w:rsidRPr="00A02124">
        <w:t xml:space="preserve"> activities</w:t>
      </w:r>
      <w:r w:rsidRPr="00A02124">
        <w:t xml:space="preserve"> not only enhanced practical expertise but also fostered habits of continuous learning and increased knowledge sharing within the organization.</w:t>
      </w:r>
      <w:r w:rsidR="00812529" w:rsidRPr="00A02124">
        <w:t xml:space="preserve"> In subsequent years, these habits of continuous learning have only become more ingrained, as demonstrated by strong adoption of J&amp;J Learn, the organization’s global, AI-powered learning and development ecosystem that offers training programs, growth assignments, and mentoring opportunities. By March 2024, over 90 percent of employees in J&amp;J’s Technology group had accessed J&amp;J Learn.</w:t>
      </w:r>
    </w:p>
    <w:p w14:paraId="6341C857" w14:textId="0438FFCF" w:rsidR="00363B9B" w:rsidRPr="00A02124" w:rsidRDefault="00776554" w:rsidP="00A02124">
      <w:pPr>
        <w:spacing w:after="120" w:line="240" w:lineRule="auto"/>
      </w:pPr>
      <w:r w:rsidRPr="00A02124">
        <w:t>Leaders used an executive dashboard to gauge aggregated employee skill</w:t>
      </w:r>
      <w:r w:rsidR="00B259E4" w:rsidRPr="00A02124">
        <w:t>s</w:t>
      </w:r>
      <w:r w:rsidRPr="00A02124">
        <w:t xml:space="preserve"> proficiency, with insights broken down by </w:t>
      </w:r>
      <w:r w:rsidR="00D522B1" w:rsidRPr="00A02124">
        <w:t xml:space="preserve">geographic </w:t>
      </w:r>
      <w:r w:rsidRPr="00A02124">
        <w:t>region and line of business. This dashboard, displayed as a heat map, resulted in more informed hiring processes, enhanced retention efforts, and improved talent movement and advancement across J&amp;J. The executive committee used a scorecard to track key performance indicators related to these outcomes, while each operating company and supporting function devised its own metrics based on its strategic plans and the capabilities it had to develop.</w:t>
      </w:r>
    </w:p>
    <w:p w14:paraId="6DAF8DFD" w14:textId="77777777" w:rsidR="00363B9B" w:rsidRPr="00A02124" w:rsidRDefault="00776554" w:rsidP="00A02124">
      <w:pPr>
        <w:spacing w:after="120" w:line="240" w:lineRule="auto"/>
      </w:pPr>
      <w:r w:rsidRPr="00A02124">
        <w:t>Skills Inference: People + Technology = Workforce Insights</w:t>
      </w:r>
    </w:p>
    <w:p w14:paraId="02E721B1" w14:textId="6D7C5D95" w:rsidR="00363B9B" w:rsidRPr="00A02124" w:rsidRDefault="00776554" w:rsidP="00A02124">
      <w:pPr>
        <w:spacing w:after="120" w:line="240" w:lineRule="auto"/>
      </w:pPr>
      <w:r w:rsidRPr="00A02124">
        <w:t xml:space="preserve">Resolving skills gaps no longer falls to </w:t>
      </w:r>
      <w:r w:rsidR="00D522B1" w:rsidRPr="00A02124">
        <w:t xml:space="preserve">human resources </w:t>
      </w:r>
      <w:r w:rsidRPr="00A02124">
        <w:t xml:space="preserve">or </w:t>
      </w:r>
      <w:r w:rsidR="00D522B1" w:rsidRPr="00A02124">
        <w:t xml:space="preserve">learning and development </w:t>
      </w:r>
      <w:r w:rsidRPr="00A02124">
        <w:t>functions alone. Instead, it has become a strategic imperative, reshaping organizational capabilities based on workforce insights. AI emerged as a powerful tool in this endeavor, enabling skills inference at a scale previously unimaginable. However, the success of this process hinges on more than just advanced technologies. It continuously requires collective effort, trust, and support of stakeholders—including employees—across many organizational levels and functions. Just as digital transformation is an ongoing journey, so too is the need to regularly (re)define</w:t>
      </w:r>
      <w:r w:rsidR="00DC21B5" w:rsidRPr="00A02124">
        <w:t xml:space="preserve"> the skills taxonomy</w:t>
      </w:r>
      <w:r w:rsidRPr="00A02124">
        <w:t xml:space="preserve">, </w:t>
      </w:r>
      <w:r w:rsidR="00DC21B5" w:rsidRPr="00A02124">
        <w:t>gather new skills evidence</w:t>
      </w:r>
      <w:r w:rsidRPr="00A02124">
        <w:t xml:space="preserve">, and </w:t>
      </w:r>
      <w:r w:rsidR="00DC21B5" w:rsidRPr="00A02124">
        <w:t xml:space="preserve">conduct </w:t>
      </w:r>
      <w:r w:rsidRPr="00A02124">
        <w:t>skills</w:t>
      </w:r>
      <w:r w:rsidR="00DC21B5" w:rsidRPr="00A02124">
        <w:t xml:space="preserve"> assessments</w:t>
      </w:r>
      <w:r w:rsidRPr="00A02124">
        <w:t xml:space="preserve"> as</w:t>
      </w:r>
      <w:r w:rsidR="00DC21B5" w:rsidRPr="00A02124">
        <w:t xml:space="preserve"> required</w:t>
      </w:r>
      <w:r w:rsidRPr="00A02124">
        <w:t xml:space="preserve"> </w:t>
      </w:r>
      <w:r w:rsidR="00DC21B5" w:rsidRPr="00A02124">
        <w:t xml:space="preserve">skills </w:t>
      </w:r>
      <w:r w:rsidRPr="00A02124">
        <w:t>evolve.</w:t>
      </w:r>
    </w:p>
    <w:p w14:paraId="780443A9" w14:textId="3C349622" w:rsidR="00363B9B" w:rsidRDefault="00776554" w:rsidP="00A02124">
      <w:pPr>
        <w:spacing w:after="120" w:line="240" w:lineRule="auto"/>
      </w:pPr>
      <w:r w:rsidRPr="00A02124">
        <w:t>For those looking to embark on their own skills inference journey today, we suggest you first focus on these inherently human success factors. Begin by generating employee support with a bounded use case that embraces your workforce’s potential and signals a commitment to developing employee skills. Then gather broad input from experts to declare your desired workforce capabilities in the form of a skills taxonomy that is aligned with your purpose and strategic objectives. That way, your employees can focus their development efforts while simultaneously providing more informed input for an eventual AI to process. Start by laying this groundwork today, so that your organization may reap the rewards of AI-powered workforce insights in the future.</w:t>
      </w:r>
    </w:p>
    <w:p w14:paraId="011465E6" w14:textId="117A25CF" w:rsidR="00A02124" w:rsidRPr="00A02124" w:rsidRDefault="00A02124" w:rsidP="00A02124">
      <w:pPr>
        <w:spacing w:line="240" w:lineRule="auto"/>
        <w:rPr>
          <w:szCs w:val="22"/>
        </w:rPr>
      </w:pPr>
      <w:r w:rsidRPr="00CA5760">
        <w:rPr>
          <w:szCs w:val="22"/>
        </w:rPr>
        <w:t>Speaker 1:</w:t>
      </w:r>
      <w:r w:rsidRPr="00CA5760">
        <w:rPr>
          <w:szCs w:val="22"/>
        </w:rPr>
        <w:tab/>
        <w:t>Thanks for listening to this reading of MIT CISR research, and thanks to the sponsors and patrons who support our work. Get free access to more research on our website at cisr.mit.edu.</w:t>
      </w:r>
    </w:p>
    <w:sectPr w:rsidR="00A02124" w:rsidRPr="00A02124">
      <w:footerReference w:type="default" r:id="rId9"/>
      <w:footnotePr>
        <w:numRestart w:val="eachSect"/>
      </w:footnotePr>
      <w:endnotePr>
        <w:pos w:val="sectEnd"/>
        <w:numFmt w:val="decimal"/>
        <w:numRestart w:val="eachSect"/>
      </w:endnotePr>
      <w:pgSz w:w="12240" w:h="15840"/>
      <w:pgMar w:top="1360" w:right="1360" w:bottom="1360" w:left="1360" w:header="737" w:footer="5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0E9F" w14:textId="77777777" w:rsidR="007B5923" w:rsidRDefault="007B5923">
      <w:pPr>
        <w:spacing w:line="240" w:lineRule="auto"/>
      </w:pPr>
      <w:r>
        <w:separator/>
      </w:r>
    </w:p>
  </w:endnote>
  <w:endnote w:type="continuationSeparator" w:id="0">
    <w:p w14:paraId="0B7C456A" w14:textId="77777777" w:rsidR="007B5923" w:rsidRDefault="007B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Regular">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22A6" w14:textId="77777777" w:rsidR="00363B9B" w:rsidRDefault="00776554">
    <w:pPr>
      <w:jc w:val="center"/>
    </w:pPr>
    <w:r>
      <w:fldChar w:fldCharType="begin"/>
    </w:r>
    <w:r>
      <w:instrText>PAGE \* MERGEFORMAT</w:instrText>
    </w:r>
    <w:r>
      <w:fldChar w:fldCharType="separate"/>
    </w:r>
    <w:r>
      <w:rPr>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AA39" w14:textId="77777777" w:rsidR="007B5923" w:rsidRDefault="007B5923">
      <w:pPr>
        <w:spacing w:before="170" w:after="200"/>
      </w:pPr>
      <w:r>
        <w:separator/>
      </w:r>
    </w:p>
  </w:footnote>
  <w:footnote w:type="continuationSeparator" w:id="0">
    <w:p w14:paraId="3E017A75" w14:textId="77777777" w:rsidR="007B5923" w:rsidRDefault="007B5923">
      <w:pPr>
        <w:spacing w:before="170" w:after="2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B9B"/>
    <w:rsid w:val="00024F87"/>
    <w:rsid w:val="0005127C"/>
    <w:rsid w:val="00052F10"/>
    <w:rsid w:val="001412C4"/>
    <w:rsid w:val="00152203"/>
    <w:rsid w:val="001C0319"/>
    <w:rsid w:val="001C0C96"/>
    <w:rsid w:val="001C1635"/>
    <w:rsid w:val="002110DB"/>
    <w:rsid w:val="00211856"/>
    <w:rsid w:val="002E6F4E"/>
    <w:rsid w:val="00363B9B"/>
    <w:rsid w:val="003A355C"/>
    <w:rsid w:val="003E1DFC"/>
    <w:rsid w:val="00433266"/>
    <w:rsid w:val="0049521B"/>
    <w:rsid w:val="0051535F"/>
    <w:rsid w:val="00547B7F"/>
    <w:rsid w:val="005733B2"/>
    <w:rsid w:val="0062651D"/>
    <w:rsid w:val="00696D72"/>
    <w:rsid w:val="006F056C"/>
    <w:rsid w:val="00776554"/>
    <w:rsid w:val="007A672E"/>
    <w:rsid w:val="007B5923"/>
    <w:rsid w:val="00812529"/>
    <w:rsid w:val="008D7200"/>
    <w:rsid w:val="00947A5B"/>
    <w:rsid w:val="009C56DC"/>
    <w:rsid w:val="00A02124"/>
    <w:rsid w:val="00A04C36"/>
    <w:rsid w:val="00A12640"/>
    <w:rsid w:val="00A21BC5"/>
    <w:rsid w:val="00A52881"/>
    <w:rsid w:val="00B259E4"/>
    <w:rsid w:val="00B67505"/>
    <w:rsid w:val="00B90572"/>
    <w:rsid w:val="00B9474D"/>
    <w:rsid w:val="00CE2146"/>
    <w:rsid w:val="00D13967"/>
    <w:rsid w:val="00D46D5C"/>
    <w:rsid w:val="00D522B1"/>
    <w:rsid w:val="00D94CC4"/>
    <w:rsid w:val="00DC21B5"/>
    <w:rsid w:val="00DC6E4F"/>
    <w:rsid w:val="00E94236"/>
    <w:rsid w:val="00EA1792"/>
    <w:rsid w:val="00EA7A1B"/>
    <w:rsid w:val="00F22919"/>
    <w:rsid w:val="00F33FC5"/>
    <w:rsid w:val="00F44EA6"/>
    <w:rsid w:val="00FB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8B24"/>
  <w15:docId w15:val="{EDDAEDA0-F5FD-5F42-BBF1-C7EBEC67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Regular" w:eastAsia="Optima Regular" w:hAnsi="Optima Regular" w:cs="Optima Regular"/>
        <w:sz w:val="24"/>
        <w:szCs w:val="24"/>
        <w:lang w:val="en-US" w:eastAsia="en-US" w:bidi="en-US"/>
        <w14:ligatures w14:val="standardContextual"/>
      </w:rPr>
    </w:rPrDefault>
    <w:pPrDefault>
      <w:pPr>
        <w:suppressAutoHyphens/>
        <w:spacing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D72"/>
    <w:rPr>
      <w:rFonts w:asciiTheme="minorHAnsi" w:hAnsiTheme="minorHAnsi"/>
    </w:rPr>
  </w:style>
  <w:style w:type="paragraph" w:styleId="Heading1">
    <w:name w:val="heading 1"/>
    <w:basedOn w:val="Normal"/>
    <w:uiPriority w:val="9"/>
    <w:qFormat/>
    <w:pPr>
      <w:keepNext/>
      <w:spacing w:line="720" w:lineRule="atLeast"/>
      <w:outlineLvl w:val="0"/>
    </w:pPr>
    <w:rPr>
      <w:b/>
      <w:sz w:val="60"/>
      <w:szCs w:val="60"/>
    </w:rPr>
  </w:style>
  <w:style w:type="paragraph" w:styleId="Heading2">
    <w:name w:val="heading 2"/>
    <w:basedOn w:val="Normal"/>
    <w:uiPriority w:val="9"/>
    <w:unhideWhenUsed/>
    <w:qFormat/>
    <w:pPr>
      <w:keepNext/>
      <w:spacing w:line="560" w:lineRule="atLeast"/>
      <w:outlineLvl w:val="1"/>
    </w:pPr>
    <w:rPr>
      <w:b/>
      <w:sz w:val="48"/>
      <w:szCs w:val="48"/>
    </w:rPr>
  </w:style>
  <w:style w:type="paragraph" w:styleId="Heading3">
    <w:name w:val="heading 3"/>
    <w:basedOn w:val="Normal"/>
    <w:uiPriority w:val="9"/>
    <w:unhideWhenUsed/>
    <w:qFormat/>
    <w:pPr>
      <w:keepNext/>
      <w:spacing w:line="440" w:lineRule="atLeast"/>
      <w:outlineLvl w:val="2"/>
    </w:pPr>
    <w:rPr>
      <w:sz w:val="40"/>
      <w:szCs w:val="40"/>
    </w:rPr>
  </w:style>
  <w:style w:type="paragraph" w:styleId="Heading4">
    <w:name w:val="heading 4"/>
    <w:basedOn w:val="Normal"/>
    <w:uiPriority w:val="9"/>
    <w:unhideWhenUsed/>
    <w:qFormat/>
    <w:pPr>
      <w:keepNext/>
      <w:outlineLvl w:val="3"/>
    </w:pPr>
    <w:rPr>
      <w:sz w:val="32"/>
      <w:szCs w:val="32"/>
    </w:rPr>
  </w:style>
  <w:style w:type="paragraph" w:styleId="Heading5">
    <w:name w:val="heading 5"/>
    <w:basedOn w:val="Normal"/>
    <w:uiPriority w:val="9"/>
    <w:semiHidden/>
    <w:unhideWhenUsed/>
    <w:qFormat/>
    <w:pPr>
      <w:keepNext/>
      <w:spacing w:line="320" w:lineRule="atLeast"/>
      <w:outlineLvl w:val="4"/>
    </w:pPr>
    <w:rPr>
      <w:sz w:val="28"/>
      <w:szCs w:val="28"/>
      <w:u w:val="single"/>
    </w:rPr>
  </w:style>
  <w:style w:type="paragraph" w:styleId="Heading6">
    <w:name w:val="heading 6"/>
    <w:basedOn w:val="Normal"/>
    <w:uiPriority w:val="9"/>
    <w:semiHidden/>
    <w:unhideWhenUsed/>
    <w:qFormat/>
    <w:pPr>
      <w:keepNext/>
      <w:spacing w:line="240" w:lineRule="atLeas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rPr>
      <w:color w:val="838383"/>
    </w:rPr>
  </w:style>
  <w:style w:type="paragraph" w:customStyle="1" w:styleId="DashedList">
    <w:name w:val="Dashed List"/>
    <w:basedOn w:val="Normal"/>
    <w:uiPriority w:val="1"/>
    <w:qFormat/>
  </w:style>
  <w:style w:type="paragraph" w:styleId="Caption">
    <w:name w:val="caption"/>
    <w:basedOn w:val="Normal"/>
    <w:uiPriority w:val="1"/>
    <w:semiHidden/>
    <w:unhideWhenUsed/>
    <w:qFormat/>
    <w:pPr>
      <w:spacing w:line="300" w:lineRule="atLeast"/>
      <w:jc w:val="center"/>
    </w:pPr>
    <w:rPr>
      <w:sz w:val="20"/>
      <w:szCs w:val="20"/>
    </w:rPr>
  </w:style>
  <w:style w:type="paragraph" w:styleId="FootnoteText">
    <w:name w:val="footnote text"/>
    <w:basedOn w:val="Normal"/>
    <w:uiPriority w:val="1"/>
    <w:qFormat/>
    <w:pPr>
      <w:spacing w:after="170"/>
    </w:p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215" w:lineRule="atLeast"/>
      <w:ind w:hanging="432"/>
    </w:pPr>
    <w:rPr>
      <w:rFonts w:ascii="Courier New" w:eastAsia="Courier New" w:hAnsi="Courier New" w:cs="Courier New"/>
      <w:color w:val="000000"/>
      <w:sz w:val="18"/>
      <w:szCs w:val="18"/>
    </w:rPr>
  </w:style>
  <w:style w:type="paragraph" w:customStyle="1" w:styleId="NumberedList">
    <w:name w:val="Numbered List"/>
    <w:basedOn w:val="Normal"/>
    <w:uiPriority w:val="1"/>
    <w:qFormat/>
  </w:style>
  <w:style w:type="paragraph" w:styleId="Quote">
    <w:name w:val="Quote"/>
    <w:basedOn w:val="Normal"/>
    <w:uiPriority w:val="1"/>
    <w:qFormat/>
  </w:style>
  <w:style w:type="character" w:styleId="FootnoteReference">
    <w:name w:val="footnote reference"/>
    <w:uiPriority w:val="2"/>
    <w:qFormat/>
    <w:rPr>
      <w:rFonts w:ascii="Optima Regular" w:eastAsia="Optima Regular" w:hAnsi="Optima Regular" w:cs="Optima Regular"/>
      <w:b/>
      <w:sz w:val="20"/>
      <w:szCs w:val="20"/>
      <w:vertAlign w:val="superscript"/>
    </w:rPr>
  </w:style>
  <w:style w:type="character" w:customStyle="1" w:styleId="Tag">
    <w:name w:val="Tag"/>
    <w:uiPriority w:val="2"/>
    <w:semiHidden/>
    <w:unhideWhenUsed/>
    <w:qFormat/>
  </w:style>
  <w:style w:type="character" w:customStyle="1" w:styleId="RawSource">
    <w:name w:val="Raw Source"/>
    <w:uiPriority w:val="2"/>
    <w:semiHidden/>
    <w:unhideWhenUsed/>
    <w:qFormat/>
  </w:style>
  <w:style w:type="character" w:customStyle="1" w:styleId="Delete">
    <w:name w:val="Delete"/>
    <w:uiPriority w:val="2"/>
    <w:semiHidden/>
    <w:unhideWhenUsed/>
    <w:qFormat/>
    <w:rPr>
      <w:strike/>
    </w:rPr>
  </w:style>
  <w:style w:type="character" w:styleId="Strong">
    <w:name w:val="Strong"/>
    <w:uiPriority w:val="2"/>
    <w:qFormat/>
    <w:rPr>
      <w:rFonts w:ascii="Optima Regular" w:eastAsia="Optima Regular" w:hAnsi="Optima Regular" w:cs="Optima Regular"/>
      <w:b/>
    </w:rPr>
  </w:style>
  <w:style w:type="character" w:customStyle="1" w:styleId="Footnote">
    <w:name w:val="Footnote"/>
    <w:uiPriority w:val="2"/>
    <w:qFormat/>
    <w:rPr>
      <w:rFonts w:ascii="Optima Regular" w:eastAsia="Optima Regular" w:hAnsi="Optima Regular" w:cs="Optima Regular"/>
      <w:b/>
    </w:rPr>
  </w:style>
  <w:style w:type="character" w:styleId="Emphasis">
    <w:name w:val="Emphasis"/>
    <w:uiPriority w:val="2"/>
    <w:qFormat/>
    <w:rPr>
      <w:rFonts w:ascii="Optima Regular" w:eastAsia="Optima Regular" w:hAnsi="Optima Regular" w:cs="Optima Regular"/>
      <w:i/>
    </w:rPr>
  </w:style>
  <w:style w:type="character" w:customStyle="1" w:styleId="Comment">
    <w:name w:val="Comment"/>
    <w:uiPriority w:val="2"/>
    <w:semiHidden/>
    <w:unhideWhenUsed/>
    <w:qFormat/>
    <w:rPr>
      <w:color w:val="77787B"/>
    </w:rPr>
  </w:style>
  <w:style w:type="character" w:customStyle="1" w:styleId="Link">
    <w:name w:val="Link"/>
    <w:uiPriority w:val="2"/>
    <w:qFormat/>
    <w:rPr>
      <w:rFonts w:ascii="Courier New" w:eastAsia="Courier New" w:hAnsi="Courier New" w:cs="Courier New"/>
      <w:u w:val="single"/>
    </w:rPr>
  </w:style>
  <w:style w:type="character" w:customStyle="1" w:styleId="Marked">
    <w:name w:val="Marked"/>
    <w:uiPriority w:val="2"/>
    <w:semiHidden/>
    <w:unhideWhenUsed/>
    <w:qFormat/>
  </w:style>
  <w:style w:type="character" w:customStyle="1" w:styleId="Annotation">
    <w:name w:val="Annotation"/>
    <w:uiPriority w:val="2"/>
    <w:semiHidden/>
    <w:unhideWhenUsed/>
    <w:qFormat/>
  </w:style>
  <w:style w:type="character" w:customStyle="1" w:styleId="Code">
    <w:name w:val="Code"/>
    <w:uiPriority w:val="2"/>
    <w:semiHidden/>
    <w:unhideWhenUsed/>
    <w:qFormat/>
    <w:rPr>
      <w:rFonts w:ascii="Courier New" w:eastAsia="Courier New" w:hAnsi="Courier New" w:cs="Courier New"/>
      <w:sz w:val="18"/>
      <w:szCs w:val="18"/>
    </w:rPr>
  </w:style>
  <w:style w:type="character" w:customStyle="1" w:styleId="Citation">
    <w:name w:val="Citation"/>
    <w:uiPriority w:val="2"/>
    <w:semiHidden/>
    <w:unhideWhenUsed/>
    <w:qFormat/>
    <w:rPr>
      <w:rFonts w:ascii="Optima Regular" w:eastAsia="Optima Regular" w:hAnsi="Optima Regular" w:cs="Optima Regular"/>
      <w:i/>
    </w:rPr>
  </w:style>
  <w:style w:type="character" w:styleId="CommentReference">
    <w:name w:val="annotation reference"/>
    <w:basedOn w:val="DefaultParagraphFont"/>
    <w:uiPriority w:val="99"/>
    <w:semiHidden/>
    <w:unhideWhenUsed/>
    <w:rsid w:val="00EA7A1B"/>
    <w:rPr>
      <w:sz w:val="16"/>
      <w:szCs w:val="16"/>
    </w:rPr>
  </w:style>
  <w:style w:type="paragraph" w:styleId="CommentText">
    <w:name w:val="annotation text"/>
    <w:basedOn w:val="Normal"/>
    <w:link w:val="CommentTextChar"/>
    <w:uiPriority w:val="99"/>
    <w:semiHidden/>
    <w:unhideWhenUsed/>
    <w:rsid w:val="00EA7A1B"/>
    <w:pPr>
      <w:spacing w:line="240" w:lineRule="auto"/>
    </w:pPr>
    <w:rPr>
      <w:sz w:val="20"/>
      <w:szCs w:val="20"/>
    </w:rPr>
  </w:style>
  <w:style w:type="character" w:customStyle="1" w:styleId="CommentTextChar">
    <w:name w:val="Comment Text Char"/>
    <w:basedOn w:val="DefaultParagraphFont"/>
    <w:link w:val="CommentText"/>
    <w:uiPriority w:val="99"/>
    <w:semiHidden/>
    <w:rsid w:val="00EA7A1B"/>
    <w:rPr>
      <w:sz w:val="20"/>
      <w:szCs w:val="20"/>
    </w:rPr>
  </w:style>
  <w:style w:type="paragraph" w:styleId="CommentSubject">
    <w:name w:val="annotation subject"/>
    <w:basedOn w:val="CommentText"/>
    <w:next w:val="CommentText"/>
    <w:link w:val="CommentSubjectChar"/>
    <w:uiPriority w:val="99"/>
    <w:semiHidden/>
    <w:unhideWhenUsed/>
    <w:rsid w:val="00EA7A1B"/>
    <w:rPr>
      <w:b/>
      <w:bCs/>
    </w:rPr>
  </w:style>
  <w:style w:type="character" w:customStyle="1" w:styleId="CommentSubjectChar">
    <w:name w:val="Comment Subject Char"/>
    <w:basedOn w:val="CommentTextChar"/>
    <w:link w:val="CommentSubject"/>
    <w:uiPriority w:val="99"/>
    <w:semiHidden/>
    <w:rsid w:val="00EA7A1B"/>
    <w:rPr>
      <w:b/>
      <w:bCs/>
      <w:sz w:val="20"/>
      <w:szCs w:val="20"/>
    </w:rPr>
  </w:style>
  <w:style w:type="paragraph" w:styleId="Revision">
    <w:name w:val="Revision"/>
    <w:hidden/>
    <w:uiPriority w:val="99"/>
    <w:semiHidden/>
    <w:rsid w:val="00EA7A1B"/>
    <w:pPr>
      <w:suppressAutoHyphens w:val="0"/>
      <w:spacing w:line="240" w:lineRule="auto"/>
    </w:pPr>
  </w:style>
  <w:style w:type="character" w:styleId="Hyperlink">
    <w:name w:val="Hyperlink"/>
    <w:basedOn w:val="DefaultParagraphFont"/>
    <w:uiPriority w:val="99"/>
    <w:unhideWhenUsed/>
    <w:rsid w:val="00696D72"/>
    <w:rPr>
      <w:color w:val="0563C1" w:themeColor="hyperlink"/>
      <w:u w:val="single"/>
    </w:rPr>
  </w:style>
  <w:style w:type="character" w:styleId="UnresolvedMention">
    <w:name w:val="Unresolved Mention"/>
    <w:basedOn w:val="DefaultParagraphFont"/>
    <w:uiPriority w:val="99"/>
    <w:semiHidden/>
    <w:unhideWhenUsed/>
    <w:rsid w:val="00696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E83865FCF0F94E9AA34E7CD5F8BFEA" ma:contentTypeVersion="16" ma:contentTypeDescription="Create a new document." ma:contentTypeScope="" ma:versionID="a4fb4ded9db1215d9d4e7bc2f90142cf">
  <xsd:schema xmlns:xsd="http://www.w3.org/2001/XMLSchema" xmlns:xs="http://www.w3.org/2001/XMLSchema" xmlns:p="http://schemas.microsoft.com/office/2006/metadata/properties" xmlns:ns2="5dff1682-248c-4625-8e45-15fdddbeb197" xmlns:ns3="f1335e46-bf73-499e-ab56-8afc1b57dcd0" targetNamespace="http://schemas.microsoft.com/office/2006/metadata/properties" ma:root="true" ma:fieldsID="71e20d389811d2215003235a6a3f81a7" ns2:_="" ns3:_="">
    <xsd:import namespace="5dff1682-248c-4625-8e45-15fdddbeb197"/>
    <xsd:import namespace="f1335e46-bf73-499e-ab56-8afc1b57d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f1682-248c-4625-8e45-15fdddbeb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82b97c-6a8a-4995-9eb5-298aced380b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335e46-bf73-499e-ab56-8afc1b57dc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f1682-248c-4625-8e45-15fdddbeb1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4EC8B4-CAD7-4EF7-A97F-01026C650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f1682-248c-4625-8e45-15fdddbeb197"/>
    <ds:schemaRef ds:uri="f1335e46-bf73-499e-ab56-8afc1b57d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80E5C-659D-42F7-A401-FBE631784D1C}">
  <ds:schemaRefs>
    <ds:schemaRef ds:uri="http://schemas.microsoft.com/sharepoint/v3/contenttype/forms"/>
  </ds:schemaRefs>
</ds:datastoreItem>
</file>

<file path=customXml/itemProps3.xml><?xml version="1.0" encoding="utf-8"?>
<ds:datastoreItem xmlns:ds="http://schemas.openxmlformats.org/officeDocument/2006/customXml" ds:itemID="{DC60FCD4-830D-4A3E-972B-B0D331C85FB8}">
  <ds:schemaRefs>
    <ds:schemaRef ds:uri="http://schemas.microsoft.com/office/2006/metadata/properties"/>
    <ds:schemaRef ds:uri="http://schemas.microsoft.com/office/infopath/2007/PartnerControls"/>
    <ds:schemaRef ds:uri="5dff1682-248c-4625-8e45-15fdddbeb19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2012</Words>
  <Characters>11530</Characters>
  <Application>Microsoft Office Word</Application>
  <DocSecurity>0</DocSecurity>
  <Lines>268</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Horton, Jessica [JJCUS]</dc:creator>
  <cp:lastModifiedBy>Cheryl A Miller</cp:lastModifiedBy>
  <cp:revision>3</cp:revision>
  <dcterms:created xsi:type="dcterms:W3CDTF">2024-04-17T15:15:00Z</dcterms:created>
  <dcterms:modified xsi:type="dcterms:W3CDTF">2024-04-17T15:17:00Z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0x010100DAE83865FCF0F94E9AA34E7CD5F8BFEA</vt:lpwstr>
  </property>
</Properties>
</file>